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546CFE" w14:textId="77777777" w:rsidR="00747201" w:rsidRDefault="00FC772B">
      <w:pPr>
        <w:spacing w:after="0" w:line="240" w:lineRule="auto"/>
        <w:ind w:right="-567"/>
        <w:rPr>
          <w:rFonts w:eastAsiaTheme="minorHAnsi"/>
          <w:color w:val="auto"/>
          <w:szCs w:val="24"/>
          <w:lang w:eastAsia="en-US"/>
        </w:rPr>
      </w:pPr>
      <w:bookmarkStart w:id="0" w:name="_Hlk9669177"/>
      <w:bookmarkEnd w:id="0"/>
      <w:r>
        <w:rPr>
          <w:rFonts w:eastAsiaTheme="minorHAnsi"/>
          <w:color w:val="auto"/>
          <w:szCs w:val="24"/>
          <w:lang w:eastAsia="en-US"/>
        </w:rPr>
        <w:t xml:space="preserve">KLASA:       </w:t>
      </w:r>
      <w:r>
        <w:rPr>
          <w:noProof/>
          <w:szCs w:val="24"/>
        </w:rPr>
        <w:t>025-01/25-01/17</w:t>
      </w:r>
      <w:r>
        <w:rPr>
          <w:rFonts w:eastAsiaTheme="minorHAnsi"/>
          <w:color w:val="auto"/>
          <w:szCs w:val="24"/>
          <w:lang w:eastAsia="en-US"/>
        </w:rPr>
        <w:t xml:space="preserve">                                                                                                                                             </w:t>
      </w:r>
    </w:p>
    <w:p w14:paraId="30546CFF" w14:textId="77777777" w:rsidR="00747201" w:rsidRDefault="00FC772B">
      <w:pPr>
        <w:rPr>
          <w:rFonts w:eastAsiaTheme="minorHAnsi"/>
          <w:color w:val="auto"/>
          <w:szCs w:val="24"/>
          <w:lang w:eastAsia="en-US"/>
        </w:rPr>
      </w:pPr>
      <w:r>
        <w:rPr>
          <w:rFonts w:eastAsiaTheme="minorHAnsi"/>
          <w:color w:val="auto"/>
          <w:szCs w:val="24"/>
          <w:lang w:eastAsia="en-US"/>
        </w:rPr>
        <w:t xml:space="preserve">URBROJ:     </w:t>
      </w:r>
      <w:r>
        <w:rPr>
          <w:rFonts w:eastAsiaTheme="minorHAnsi"/>
          <w:noProof/>
          <w:color w:val="auto"/>
          <w:szCs w:val="24"/>
          <w:lang w:eastAsia="en-US"/>
        </w:rPr>
        <w:t>2182-9-2-25-1</w:t>
      </w:r>
      <w:r>
        <w:rPr>
          <w:rFonts w:eastAsiaTheme="minorHAnsi"/>
          <w:color w:val="auto"/>
          <w:szCs w:val="24"/>
          <w:lang w:eastAsia="en-US"/>
        </w:rPr>
        <w:t xml:space="preserve">                                              </w:t>
      </w:r>
    </w:p>
    <w:p w14:paraId="30546D00" w14:textId="77777777" w:rsidR="00747201" w:rsidRDefault="00FC772B">
      <w:pPr>
        <w:rPr>
          <w:rFonts w:eastAsiaTheme="minorHAnsi"/>
          <w:color w:val="auto"/>
          <w:szCs w:val="24"/>
          <w:lang w:eastAsia="en-US"/>
        </w:rPr>
      </w:pPr>
      <w:r>
        <w:rPr>
          <w:rFonts w:eastAsiaTheme="minorHAnsi"/>
          <w:color w:val="auto"/>
          <w:lang w:eastAsia="en-US"/>
        </w:rPr>
        <w:t xml:space="preserve"> </w:t>
      </w:r>
      <w:r>
        <w:rPr>
          <w:noProof/>
        </w:rPr>
        <w:drawing>
          <wp:inline distT="0" distB="0" distL="0" distR="0" wp14:anchorId="30546E1A" wp14:editId="30546E1B">
            <wp:extent cx="933580" cy="93358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933580" cy="933580"/>
                    </a:xfrm>
                    <a:prstGeom prst="rect">
                      <a:avLst/>
                    </a:prstGeom>
                  </pic:spPr>
                </pic:pic>
              </a:graphicData>
            </a:graphic>
          </wp:inline>
        </w:drawing>
      </w:r>
      <w:r>
        <w:rPr>
          <w:rFonts w:eastAsiaTheme="minorHAnsi"/>
          <w:color w:val="auto"/>
          <w:lang w:eastAsia="en-US"/>
        </w:rPr>
        <w:t xml:space="preserve">  </w:t>
      </w:r>
    </w:p>
    <w:p w14:paraId="30546D01" w14:textId="77777777" w:rsidR="00747201" w:rsidRDefault="00747201">
      <w:pPr>
        <w:pStyle w:val="Default"/>
        <w:spacing w:line="276" w:lineRule="auto"/>
        <w:jc w:val="both"/>
        <w:rPr>
          <w:b/>
          <w:color w:val="404040"/>
          <w:sz w:val="23"/>
          <w:szCs w:val="23"/>
        </w:rPr>
      </w:pPr>
    </w:p>
    <w:p w14:paraId="30546D02" w14:textId="77777777" w:rsidR="00747201" w:rsidRDefault="00FC772B">
      <w:pPr>
        <w:pStyle w:val="Default"/>
        <w:spacing w:line="276" w:lineRule="auto"/>
        <w:jc w:val="both"/>
        <w:rPr>
          <w:b/>
          <w:color w:val="404040"/>
          <w:sz w:val="23"/>
          <w:szCs w:val="23"/>
        </w:rPr>
      </w:pPr>
      <w:r>
        <w:rPr>
          <w:b/>
          <w:color w:val="404040"/>
          <w:sz w:val="23"/>
          <w:szCs w:val="23"/>
        </w:rPr>
        <w:t xml:space="preserve">Eko Promina d.o.o. </w:t>
      </w:r>
    </w:p>
    <w:p w14:paraId="30546D03" w14:textId="77777777" w:rsidR="00747201" w:rsidRDefault="00FC772B">
      <w:pPr>
        <w:pStyle w:val="Default"/>
        <w:spacing w:line="276" w:lineRule="auto"/>
        <w:jc w:val="both"/>
        <w:rPr>
          <w:color w:val="404040"/>
          <w:sz w:val="23"/>
          <w:szCs w:val="23"/>
        </w:rPr>
      </w:pPr>
      <w:r>
        <w:rPr>
          <w:color w:val="404040"/>
          <w:sz w:val="23"/>
          <w:szCs w:val="23"/>
        </w:rPr>
        <w:t>Put kroz Oklaj 144</w:t>
      </w:r>
    </w:p>
    <w:p w14:paraId="30546D04" w14:textId="77777777" w:rsidR="00747201" w:rsidRDefault="00FC772B">
      <w:pPr>
        <w:pStyle w:val="Default"/>
        <w:spacing w:line="276" w:lineRule="auto"/>
        <w:jc w:val="both"/>
        <w:rPr>
          <w:color w:val="404040"/>
          <w:sz w:val="23"/>
          <w:szCs w:val="23"/>
        </w:rPr>
      </w:pPr>
      <w:r>
        <w:rPr>
          <w:color w:val="404040"/>
          <w:sz w:val="23"/>
          <w:szCs w:val="23"/>
        </w:rPr>
        <w:t>22303 Oklaj</w:t>
      </w:r>
    </w:p>
    <w:p w14:paraId="30546D05" w14:textId="77777777" w:rsidR="00747201" w:rsidRDefault="00FC772B">
      <w:pPr>
        <w:pStyle w:val="Default"/>
        <w:spacing w:line="276" w:lineRule="auto"/>
        <w:jc w:val="both"/>
        <w:rPr>
          <w:color w:val="404040"/>
          <w:sz w:val="23"/>
          <w:szCs w:val="23"/>
        </w:rPr>
      </w:pPr>
      <w:r>
        <w:rPr>
          <w:color w:val="404040"/>
          <w:sz w:val="23"/>
          <w:szCs w:val="23"/>
        </w:rPr>
        <w:t>OIB: 90431466150</w:t>
      </w:r>
    </w:p>
    <w:p w14:paraId="30546D07" w14:textId="77777777" w:rsidR="00747201" w:rsidRDefault="00747201">
      <w:pPr>
        <w:pStyle w:val="Default"/>
        <w:spacing w:line="276" w:lineRule="auto"/>
        <w:jc w:val="both"/>
        <w:rPr>
          <w:color w:val="404040"/>
          <w:sz w:val="23"/>
          <w:szCs w:val="23"/>
        </w:rPr>
      </w:pPr>
    </w:p>
    <w:p w14:paraId="30546D08" w14:textId="77777777" w:rsidR="00747201" w:rsidRDefault="00FC772B">
      <w:pPr>
        <w:pStyle w:val="Default"/>
        <w:spacing w:line="276" w:lineRule="auto"/>
        <w:jc w:val="center"/>
        <w:rPr>
          <w:b/>
          <w:bCs/>
          <w:color w:val="404040"/>
          <w:sz w:val="40"/>
          <w:szCs w:val="40"/>
        </w:rPr>
      </w:pPr>
      <w:r>
        <w:rPr>
          <w:b/>
          <w:bCs/>
          <w:color w:val="404040"/>
          <w:sz w:val="40"/>
          <w:szCs w:val="40"/>
        </w:rPr>
        <w:t>BILJEŠKE</w:t>
      </w:r>
    </w:p>
    <w:p w14:paraId="30546D0B" w14:textId="1C904EB3" w:rsidR="00747201" w:rsidRDefault="00FC772B" w:rsidP="001F1C52">
      <w:pPr>
        <w:pStyle w:val="Default"/>
        <w:spacing w:line="276" w:lineRule="auto"/>
        <w:jc w:val="center"/>
        <w:rPr>
          <w:b/>
          <w:bCs/>
          <w:color w:val="404040"/>
          <w:sz w:val="32"/>
          <w:szCs w:val="32"/>
        </w:rPr>
      </w:pPr>
      <w:r>
        <w:rPr>
          <w:b/>
          <w:bCs/>
          <w:color w:val="404040"/>
          <w:sz w:val="32"/>
          <w:szCs w:val="32"/>
        </w:rPr>
        <w:t>ZA 2024. GODINU</w:t>
      </w:r>
    </w:p>
    <w:p w14:paraId="139C1637" w14:textId="77777777" w:rsidR="001F1C52" w:rsidRPr="001F1C52" w:rsidRDefault="001F1C52" w:rsidP="001F1C52">
      <w:pPr>
        <w:pStyle w:val="Default"/>
        <w:spacing w:line="276" w:lineRule="auto"/>
        <w:jc w:val="center"/>
        <w:rPr>
          <w:b/>
          <w:bCs/>
          <w:color w:val="404040"/>
          <w:sz w:val="32"/>
          <w:szCs w:val="32"/>
        </w:rPr>
      </w:pPr>
    </w:p>
    <w:p w14:paraId="30546D0C" w14:textId="77777777" w:rsidR="00747201" w:rsidRDefault="00FC772B">
      <w:pPr>
        <w:pStyle w:val="Default"/>
        <w:spacing w:line="276" w:lineRule="auto"/>
        <w:jc w:val="center"/>
        <w:rPr>
          <w:b/>
          <w:bCs/>
          <w:color w:val="404040"/>
          <w:sz w:val="32"/>
          <w:szCs w:val="32"/>
        </w:rPr>
      </w:pPr>
      <w:r>
        <w:rPr>
          <w:b/>
          <w:bCs/>
          <w:color w:val="404040"/>
          <w:sz w:val="32"/>
          <w:szCs w:val="32"/>
        </w:rPr>
        <w:t>OSNOVNI PODACI O TRGOVAČKOM DRUŠTVU</w:t>
      </w:r>
    </w:p>
    <w:p w14:paraId="30546D0D" w14:textId="77777777" w:rsidR="00747201" w:rsidRDefault="00747201">
      <w:pPr>
        <w:pStyle w:val="Default"/>
        <w:spacing w:line="276" w:lineRule="auto"/>
        <w:jc w:val="both"/>
        <w:rPr>
          <w:b/>
          <w:bCs/>
          <w:color w:val="404040"/>
          <w:sz w:val="23"/>
          <w:szCs w:val="23"/>
        </w:rPr>
      </w:pPr>
    </w:p>
    <w:p w14:paraId="30546D0E" w14:textId="77777777" w:rsidR="00747201" w:rsidRDefault="00FC772B">
      <w:pPr>
        <w:pStyle w:val="Default"/>
        <w:spacing w:line="276" w:lineRule="auto"/>
        <w:ind w:firstLine="708"/>
        <w:jc w:val="both"/>
        <w:rPr>
          <w:bCs/>
          <w:color w:val="404040"/>
          <w:sz w:val="23"/>
          <w:szCs w:val="23"/>
        </w:rPr>
      </w:pPr>
      <w:r>
        <w:rPr>
          <w:bCs/>
          <w:color w:val="404040"/>
          <w:sz w:val="23"/>
          <w:szCs w:val="23"/>
        </w:rPr>
        <w:t>Sjedište trgovačkog društva Eko Promina d.o.o. (u daljnjem tekstu: “Društvo”) nalazi se na adresi Put kroz Oklaj 144, 22303 Oklaj, u općini Promina, županija ŠIBENSKO-KNINSKA.</w:t>
      </w:r>
    </w:p>
    <w:p w14:paraId="30546D0F" w14:textId="77777777" w:rsidR="00747201" w:rsidRDefault="00747201">
      <w:pPr>
        <w:pStyle w:val="Default"/>
        <w:spacing w:line="276" w:lineRule="auto"/>
        <w:jc w:val="both"/>
        <w:rPr>
          <w:bCs/>
          <w:color w:val="404040"/>
          <w:sz w:val="23"/>
          <w:szCs w:val="23"/>
        </w:rPr>
      </w:pPr>
    </w:p>
    <w:p w14:paraId="30546D10" w14:textId="77777777" w:rsidR="00747201" w:rsidRDefault="00FC772B">
      <w:pPr>
        <w:pStyle w:val="Default"/>
        <w:spacing w:line="276" w:lineRule="auto"/>
        <w:ind w:firstLine="708"/>
        <w:jc w:val="both"/>
        <w:rPr>
          <w:bCs/>
          <w:color w:val="404040"/>
          <w:sz w:val="23"/>
          <w:szCs w:val="23"/>
        </w:rPr>
      </w:pPr>
      <w:r>
        <w:rPr>
          <w:bCs/>
          <w:color w:val="404040"/>
          <w:sz w:val="23"/>
          <w:szCs w:val="23"/>
        </w:rPr>
        <w:t>Ovlaštena osoba za zastupanje je Barbara Nakić-Alfirević.</w:t>
      </w:r>
    </w:p>
    <w:p w14:paraId="30546D11" w14:textId="77777777" w:rsidR="00747201" w:rsidRDefault="00747201">
      <w:pPr>
        <w:pStyle w:val="Default"/>
        <w:spacing w:line="276" w:lineRule="auto"/>
        <w:jc w:val="both"/>
        <w:rPr>
          <w:bCs/>
          <w:color w:val="404040"/>
          <w:sz w:val="23"/>
          <w:szCs w:val="23"/>
        </w:rPr>
      </w:pPr>
    </w:p>
    <w:p w14:paraId="30546D12" w14:textId="77777777" w:rsidR="00747201" w:rsidRDefault="00FC772B">
      <w:pPr>
        <w:pStyle w:val="Default"/>
        <w:spacing w:line="276" w:lineRule="auto"/>
        <w:ind w:firstLine="708"/>
        <w:jc w:val="both"/>
        <w:rPr>
          <w:bCs/>
          <w:color w:val="404040"/>
          <w:sz w:val="23"/>
          <w:szCs w:val="23"/>
        </w:rPr>
      </w:pPr>
      <w:r>
        <w:rPr>
          <w:bCs/>
          <w:color w:val="404040"/>
          <w:sz w:val="23"/>
          <w:szCs w:val="23"/>
        </w:rPr>
        <w:t>Matični broj (MB), dodijeljen od DZS-a, je 2625067, a matični broj subjekta (MBS), dodijeljen od nadležnog trgovačkog suda, je 100016114.</w:t>
      </w:r>
    </w:p>
    <w:p w14:paraId="30546D13" w14:textId="77777777" w:rsidR="00747201" w:rsidRDefault="00747201">
      <w:pPr>
        <w:pStyle w:val="Default"/>
        <w:spacing w:line="276" w:lineRule="auto"/>
        <w:jc w:val="both"/>
        <w:rPr>
          <w:bCs/>
          <w:color w:val="404040"/>
          <w:sz w:val="23"/>
          <w:szCs w:val="23"/>
        </w:rPr>
      </w:pPr>
    </w:p>
    <w:p w14:paraId="30546D14" w14:textId="77777777" w:rsidR="00747201" w:rsidRDefault="00FC772B">
      <w:pPr>
        <w:spacing w:after="0"/>
        <w:ind w:right="551"/>
        <w:jc w:val="both"/>
        <w:rPr>
          <w:color w:val="404040"/>
          <w:sz w:val="23"/>
          <w:szCs w:val="23"/>
        </w:rPr>
      </w:pPr>
      <w:r>
        <w:rPr>
          <w:color w:val="404040"/>
          <w:sz w:val="23"/>
          <w:szCs w:val="23"/>
        </w:rPr>
        <w:tab/>
      </w:r>
      <w:proofErr w:type="spellStart"/>
      <w:r>
        <w:rPr>
          <w:color w:val="404040"/>
          <w:sz w:val="23"/>
          <w:szCs w:val="23"/>
        </w:rPr>
        <w:t>Društvo</w:t>
      </w:r>
      <w:proofErr w:type="spellEnd"/>
      <w:r>
        <w:rPr>
          <w:color w:val="404040"/>
          <w:sz w:val="23"/>
          <w:szCs w:val="23"/>
        </w:rPr>
        <w:t xml:space="preserve"> je </w:t>
      </w:r>
      <w:proofErr w:type="spellStart"/>
      <w:r>
        <w:rPr>
          <w:color w:val="404040"/>
          <w:sz w:val="23"/>
          <w:szCs w:val="23"/>
        </w:rPr>
        <w:t>Privatno</w:t>
      </w:r>
      <w:proofErr w:type="spellEnd"/>
      <w:r>
        <w:rPr>
          <w:color w:val="404040"/>
          <w:sz w:val="23"/>
          <w:szCs w:val="23"/>
        </w:rPr>
        <w:t xml:space="preserve"> </w:t>
      </w:r>
      <w:proofErr w:type="spellStart"/>
      <w:r>
        <w:rPr>
          <w:color w:val="404040"/>
          <w:sz w:val="23"/>
          <w:szCs w:val="23"/>
        </w:rPr>
        <w:t>od</w:t>
      </w:r>
      <w:proofErr w:type="spellEnd"/>
      <w:r>
        <w:rPr>
          <w:color w:val="404040"/>
          <w:sz w:val="23"/>
          <w:szCs w:val="23"/>
        </w:rPr>
        <w:t xml:space="preserve"> </w:t>
      </w:r>
      <w:proofErr w:type="spellStart"/>
      <w:r>
        <w:rPr>
          <w:color w:val="404040"/>
          <w:sz w:val="23"/>
          <w:szCs w:val="23"/>
        </w:rPr>
        <w:t>osnivanja</w:t>
      </w:r>
      <w:proofErr w:type="spellEnd"/>
      <w:r>
        <w:rPr>
          <w:color w:val="404040"/>
          <w:sz w:val="23"/>
          <w:szCs w:val="23"/>
        </w:rPr>
        <w:t xml:space="preserve">, a </w:t>
      </w:r>
      <w:proofErr w:type="spellStart"/>
      <w:r>
        <w:rPr>
          <w:color w:val="404040"/>
          <w:sz w:val="23"/>
          <w:szCs w:val="23"/>
        </w:rPr>
        <w:t>sukladno</w:t>
      </w:r>
      <w:proofErr w:type="spellEnd"/>
      <w:r>
        <w:rPr>
          <w:color w:val="404040"/>
          <w:sz w:val="23"/>
          <w:szCs w:val="23"/>
        </w:rPr>
        <w:t xml:space="preserve"> </w:t>
      </w:r>
      <w:proofErr w:type="spellStart"/>
      <w:r>
        <w:rPr>
          <w:color w:val="404040"/>
          <w:sz w:val="23"/>
          <w:szCs w:val="23"/>
        </w:rPr>
        <w:t>članku</w:t>
      </w:r>
      <w:proofErr w:type="spellEnd"/>
      <w:r>
        <w:rPr>
          <w:color w:val="404040"/>
          <w:sz w:val="23"/>
          <w:szCs w:val="23"/>
        </w:rPr>
        <w:t xml:space="preserve"> 5. </w:t>
      </w:r>
      <w:proofErr w:type="spellStart"/>
      <w:r>
        <w:rPr>
          <w:color w:val="404040"/>
          <w:sz w:val="23"/>
          <w:szCs w:val="23"/>
        </w:rPr>
        <w:t>ZoR</w:t>
      </w:r>
      <w:proofErr w:type="spellEnd"/>
      <w:r>
        <w:rPr>
          <w:color w:val="404040"/>
          <w:sz w:val="23"/>
          <w:szCs w:val="23"/>
        </w:rPr>
        <w:t xml:space="preserve">-a </w:t>
      </w:r>
      <w:proofErr w:type="spellStart"/>
      <w:r>
        <w:rPr>
          <w:color w:val="404040"/>
          <w:sz w:val="23"/>
          <w:szCs w:val="23"/>
        </w:rPr>
        <w:t>Društvo</w:t>
      </w:r>
      <w:proofErr w:type="spellEnd"/>
      <w:r>
        <w:rPr>
          <w:color w:val="404040"/>
          <w:sz w:val="23"/>
          <w:szCs w:val="23"/>
        </w:rPr>
        <w:t xml:space="preserve"> je </w:t>
      </w:r>
      <w:proofErr w:type="spellStart"/>
      <w:r>
        <w:rPr>
          <w:color w:val="404040"/>
          <w:sz w:val="23"/>
          <w:szCs w:val="23"/>
        </w:rPr>
        <w:t>razvrstano</w:t>
      </w:r>
      <w:proofErr w:type="spellEnd"/>
      <w:r>
        <w:rPr>
          <w:color w:val="404040"/>
          <w:sz w:val="23"/>
          <w:szCs w:val="23"/>
        </w:rPr>
        <w:t xml:space="preserve"> u </w:t>
      </w:r>
      <w:proofErr w:type="spellStart"/>
      <w:r>
        <w:rPr>
          <w:color w:val="404040"/>
          <w:sz w:val="23"/>
          <w:szCs w:val="23"/>
        </w:rPr>
        <w:t>kategoriju</w:t>
      </w:r>
      <w:proofErr w:type="spellEnd"/>
      <w:r>
        <w:rPr>
          <w:color w:val="404040"/>
          <w:sz w:val="23"/>
          <w:szCs w:val="23"/>
        </w:rPr>
        <w:t xml:space="preserve"> </w:t>
      </w:r>
      <w:proofErr w:type="spellStart"/>
      <w:r>
        <w:rPr>
          <w:color w:val="404040"/>
          <w:sz w:val="23"/>
          <w:szCs w:val="23"/>
        </w:rPr>
        <w:t>Mikro</w:t>
      </w:r>
      <w:proofErr w:type="spellEnd"/>
      <w:r>
        <w:rPr>
          <w:color w:val="404040"/>
          <w:sz w:val="23"/>
          <w:szCs w:val="23"/>
        </w:rPr>
        <w:t xml:space="preserve"> </w:t>
      </w:r>
      <w:proofErr w:type="spellStart"/>
      <w:r>
        <w:rPr>
          <w:color w:val="404040"/>
          <w:sz w:val="23"/>
          <w:szCs w:val="23"/>
        </w:rPr>
        <w:t>poduzetnik</w:t>
      </w:r>
      <w:proofErr w:type="spellEnd"/>
      <w:r>
        <w:rPr>
          <w:color w:val="404040"/>
          <w:sz w:val="23"/>
          <w:szCs w:val="23"/>
        </w:rPr>
        <w:t>.</w:t>
      </w:r>
    </w:p>
    <w:p w14:paraId="30546D15" w14:textId="77777777" w:rsidR="00747201" w:rsidRDefault="00747201">
      <w:pPr>
        <w:pStyle w:val="Default"/>
        <w:spacing w:line="276" w:lineRule="auto"/>
        <w:jc w:val="both"/>
        <w:rPr>
          <w:bCs/>
          <w:color w:val="404040"/>
          <w:sz w:val="23"/>
          <w:szCs w:val="23"/>
        </w:rPr>
      </w:pPr>
    </w:p>
    <w:p w14:paraId="30546D16" w14:textId="77777777" w:rsidR="00747201" w:rsidRDefault="00FC772B">
      <w:pPr>
        <w:pStyle w:val="Default"/>
        <w:spacing w:line="276" w:lineRule="auto"/>
        <w:ind w:firstLine="708"/>
        <w:jc w:val="both"/>
        <w:rPr>
          <w:bCs/>
          <w:color w:val="404040"/>
          <w:sz w:val="23"/>
          <w:szCs w:val="23"/>
        </w:rPr>
      </w:pPr>
      <w:r>
        <w:rPr>
          <w:bCs/>
          <w:color w:val="404040"/>
          <w:sz w:val="23"/>
          <w:szCs w:val="23"/>
        </w:rPr>
        <w:t>Kapital Društva je 100,00 % domaći te 0,00 % strani.</w:t>
      </w:r>
    </w:p>
    <w:p w14:paraId="30546D17" w14:textId="77777777" w:rsidR="00747201" w:rsidRDefault="00747201">
      <w:pPr>
        <w:pStyle w:val="Default"/>
        <w:spacing w:line="276" w:lineRule="auto"/>
        <w:jc w:val="both"/>
        <w:rPr>
          <w:bCs/>
          <w:color w:val="404040"/>
          <w:sz w:val="23"/>
          <w:szCs w:val="23"/>
        </w:rPr>
      </w:pPr>
    </w:p>
    <w:p w14:paraId="30546D18" w14:textId="77777777" w:rsidR="00747201" w:rsidRDefault="00FC772B">
      <w:pPr>
        <w:pStyle w:val="Default"/>
        <w:spacing w:line="276" w:lineRule="auto"/>
        <w:ind w:firstLine="708"/>
        <w:jc w:val="both"/>
        <w:rPr>
          <w:bCs/>
          <w:color w:val="404040"/>
          <w:sz w:val="23"/>
          <w:szCs w:val="23"/>
        </w:rPr>
      </w:pPr>
      <w:r>
        <w:rPr>
          <w:bCs/>
          <w:color w:val="404040"/>
          <w:sz w:val="23"/>
          <w:szCs w:val="23"/>
        </w:rPr>
        <w:t>Temeljem Obavijesti o razvrstavanju poslovnog subjekta prema Nacionalnoj klasifikaciji djelatnosti, koju je izdao Državni zavod za statistiku Zagreb, osnovna djelatnost, odnosno predmet poslovanja Društva je/su:</w:t>
      </w:r>
    </w:p>
    <w:p w14:paraId="30546D19" w14:textId="77777777" w:rsidR="00747201" w:rsidRDefault="00747201">
      <w:pPr>
        <w:pStyle w:val="Default"/>
        <w:spacing w:line="276" w:lineRule="auto"/>
        <w:ind w:firstLine="708"/>
        <w:jc w:val="both"/>
        <w:rPr>
          <w:bCs/>
          <w:color w:val="404040"/>
          <w:sz w:val="23"/>
          <w:szCs w:val="23"/>
        </w:rPr>
      </w:pPr>
    </w:p>
    <w:p w14:paraId="30546D1A" w14:textId="77777777" w:rsidR="00747201" w:rsidRDefault="00FC772B">
      <w:pPr>
        <w:pStyle w:val="Default"/>
        <w:numPr>
          <w:ilvl w:val="0"/>
          <w:numId w:val="8"/>
        </w:numPr>
        <w:spacing w:line="276" w:lineRule="auto"/>
        <w:jc w:val="both"/>
        <w:rPr>
          <w:bCs/>
          <w:color w:val="404040"/>
          <w:sz w:val="23"/>
          <w:szCs w:val="23"/>
        </w:rPr>
      </w:pPr>
      <w:r>
        <w:rPr>
          <w:bCs/>
          <w:color w:val="404040"/>
          <w:sz w:val="23"/>
          <w:szCs w:val="23"/>
        </w:rPr>
        <w:t>Skupljanje neopasnog otpada</w:t>
      </w:r>
    </w:p>
    <w:p w14:paraId="30546D1B" w14:textId="77777777" w:rsidR="00747201" w:rsidRDefault="00747201">
      <w:pPr>
        <w:pStyle w:val="Default"/>
        <w:spacing w:line="276" w:lineRule="auto"/>
        <w:jc w:val="both"/>
        <w:rPr>
          <w:bCs/>
          <w:color w:val="404040"/>
          <w:sz w:val="23"/>
          <w:szCs w:val="23"/>
        </w:rPr>
      </w:pPr>
    </w:p>
    <w:p w14:paraId="30546D1C" w14:textId="77777777" w:rsidR="00747201" w:rsidRDefault="00FC772B">
      <w:pPr>
        <w:pStyle w:val="Default"/>
        <w:spacing w:line="276" w:lineRule="auto"/>
        <w:ind w:firstLine="708"/>
        <w:jc w:val="both"/>
        <w:rPr>
          <w:bCs/>
          <w:color w:val="404040"/>
          <w:sz w:val="23"/>
          <w:szCs w:val="23"/>
        </w:rPr>
      </w:pPr>
      <w:r>
        <w:rPr>
          <w:bCs/>
          <w:color w:val="404040"/>
          <w:sz w:val="23"/>
          <w:szCs w:val="23"/>
        </w:rPr>
        <w:t>Status autonomnosti Društva: Autonomno društvo, nije bilo član grupe u izvještajnom razdoblju.</w:t>
      </w:r>
    </w:p>
    <w:p w14:paraId="30546D1D" w14:textId="77777777" w:rsidR="00747201" w:rsidRDefault="00747201">
      <w:pPr>
        <w:pStyle w:val="Default"/>
        <w:spacing w:line="276" w:lineRule="auto"/>
        <w:jc w:val="both"/>
        <w:rPr>
          <w:bCs/>
          <w:color w:val="404040"/>
          <w:sz w:val="23"/>
          <w:szCs w:val="23"/>
        </w:rPr>
      </w:pPr>
    </w:p>
    <w:p w14:paraId="30546D1E" w14:textId="77777777" w:rsidR="00747201" w:rsidRDefault="00FC772B">
      <w:pPr>
        <w:pStyle w:val="Default"/>
        <w:spacing w:line="276" w:lineRule="auto"/>
        <w:ind w:firstLine="708"/>
        <w:jc w:val="both"/>
        <w:rPr>
          <w:bCs/>
          <w:color w:val="404040"/>
          <w:sz w:val="23"/>
          <w:szCs w:val="23"/>
        </w:rPr>
      </w:pPr>
      <w:r>
        <w:rPr>
          <w:bCs/>
          <w:color w:val="404040"/>
          <w:sz w:val="23"/>
          <w:szCs w:val="23"/>
        </w:rPr>
        <w:t>Prosječni broj zaposlenih krajem razdoblja u prethodnoj godini bio je 5, a na kraju tekuće 2024. godine je 7 zaposlenih.</w:t>
      </w:r>
      <w:r>
        <w:rPr>
          <w:bCs/>
          <w:color w:val="404040"/>
          <w:sz w:val="23"/>
          <w:szCs w:val="23"/>
        </w:rPr>
        <w:tab/>
      </w:r>
    </w:p>
    <w:p w14:paraId="30546D20" w14:textId="77777777" w:rsidR="00747201" w:rsidRDefault="00FC772B" w:rsidP="001F1C52">
      <w:pPr>
        <w:pStyle w:val="Default"/>
        <w:spacing w:line="276" w:lineRule="auto"/>
        <w:jc w:val="both"/>
        <w:rPr>
          <w:bCs/>
          <w:color w:val="404040"/>
          <w:sz w:val="23"/>
          <w:szCs w:val="23"/>
        </w:rPr>
      </w:pPr>
      <w:r>
        <w:rPr>
          <w:bCs/>
          <w:color w:val="404040"/>
          <w:sz w:val="23"/>
          <w:szCs w:val="23"/>
        </w:rPr>
        <w:t>U 2023. godini Društvo je poslovalo 12 mjeseci, a u 2024. godini 12 mjeseci.</w:t>
      </w:r>
    </w:p>
    <w:p w14:paraId="30546D22" w14:textId="338F8E87" w:rsidR="00747201" w:rsidRDefault="00FC772B" w:rsidP="001F1C52">
      <w:pPr>
        <w:widowControl/>
        <w:pBdr>
          <w:top w:val="none" w:sz="0" w:space="0" w:color="auto"/>
          <w:left w:val="none" w:sz="0" w:space="0" w:color="auto"/>
          <w:bottom w:val="none" w:sz="0" w:space="0" w:color="auto"/>
          <w:right w:val="none" w:sz="0" w:space="0" w:color="auto"/>
          <w:between w:val="none" w:sz="0" w:space="0" w:color="auto"/>
        </w:pBdr>
        <w:spacing w:after="160" w:line="259" w:lineRule="auto"/>
        <w:rPr>
          <w:rFonts w:eastAsiaTheme="minorHAnsi"/>
          <w:bCs/>
          <w:color w:val="404040"/>
          <w:sz w:val="23"/>
          <w:szCs w:val="23"/>
          <w:lang w:val="hr-HR" w:eastAsia="en-US"/>
        </w:rPr>
      </w:pPr>
      <w:r>
        <w:rPr>
          <w:b/>
          <w:color w:val="404040"/>
          <w:sz w:val="32"/>
          <w:szCs w:val="32"/>
        </w:rPr>
        <w:lastRenderedPageBreak/>
        <w:t>ZNAČAJNE RAČUNOVODSTVENE POLITIKE</w:t>
      </w:r>
    </w:p>
    <w:p w14:paraId="30546D23" w14:textId="77777777" w:rsidR="00747201" w:rsidRDefault="00747201">
      <w:pPr>
        <w:spacing w:after="0"/>
        <w:jc w:val="both"/>
        <w:rPr>
          <w:color w:val="404040"/>
        </w:rPr>
      </w:pPr>
    </w:p>
    <w:p w14:paraId="30546D24" w14:textId="77777777" w:rsidR="00747201" w:rsidRDefault="00FC772B">
      <w:pPr>
        <w:spacing w:after="0"/>
        <w:ind w:right="551"/>
        <w:jc w:val="both"/>
        <w:rPr>
          <w:b/>
          <w:color w:val="404040"/>
          <w:sz w:val="28"/>
          <w:szCs w:val="28"/>
        </w:rPr>
      </w:pPr>
      <w:r>
        <w:rPr>
          <w:b/>
          <w:color w:val="404040"/>
          <w:sz w:val="28"/>
          <w:szCs w:val="28"/>
        </w:rPr>
        <w:t>OSNOVNE PRIPREME</w:t>
      </w:r>
    </w:p>
    <w:p w14:paraId="30546D25" w14:textId="77777777" w:rsidR="00747201" w:rsidRDefault="00747201">
      <w:pPr>
        <w:spacing w:after="0"/>
        <w:ind w:right="551"/>
        <w:jc w:val="both"/>
        <w:rPr>
          <w:color w:val="404040"/>
          <w:sz w:val="23"/>
          <w:szCs w:val="23"/>
        </w:rPr>
      </w:pPr>
    </w:p>
    <w:p w14:paraId="30546D26" w14:textId="77777777" w:rsidR="00747201" w:rsidRDefault="00FC772B">
      <w:pPr>
        <w:pStyle w:val="Default"/>
        <w:spacing w:line="276" w:lineRule="auto"/>
        <w:ind w:left="708"/>
        <w:jc w:val="both"/>
        <w:rPr>
          <w:b/>
          <w:color w:val="404040"/>
          <w:sz w:val="23"/>
          <w:szCs w:val="23"/>
        </w:rPr>
      </w:pPr>
      <w:r>
        <w:rPr>
          <w:b/>
          <w:color w:val="404040"/>
          <w:sz w:val="23"/>
          <w:szCs w:val="23"/>
        </w:rPr>
        <w:t>Regularni okvir sastavljanja GFI-a</w:t>
      </w:r>
    </w:p>
    <w:p w14:paraId="30546D27" w14:textId="77777777" w:rsidR="00747201" w:rsidRDefault="00FC772B">
      <w:pPr>
        <w:pStyle w:val="Default"/>
        <w:numPr>
          <w:ilvl w:val="0"/>
          <w:numId w:val="3"/>
        </w:numPr>
        <w:spacing w:line="276" w:lineRule="auto"/>
        <w:jc w:val="both"/>
        <w:rPr>
          <w:color w:val="404040"/>
          <w:sz w:val="23"/>
          <w:szCs w:val="23"/>
        </w:rPr>
      </w:pPr>
      <w:r>
        <w:rPr>
          <w:color w:val="404040"/>
          <w:sz w:val="23"/>
          <w:szCs w:val="23"/>
        </w:rPr>
        <w:t xml:space="preserve">Zakon o računovodstvu (NN </w:t>
      </w:r>
      <w:r>
        <w:rPr>
          <w:color w:val="404040"/>
          <w:sz w:val="23"/>
          <w:szCs w:val="23"/>
          <w:lang w:val="en-US"/>
        </w:rPr>
        <w:t>85/24 i 145/24</w:t>
      </w:r>
      <w:r>
        <w:rPr>
          <w:color w:val="404040"/>
          <w:sz w:val="23"/>
          <w:szCs w:val="23"/>
        </w:rPr>
        <w:t>)</w:t>
      </w:r>
    </w:p>
    <w:p w14:paraId="30546D28" w14:textId="77777777" w:rsidR="00747201" w:rsidRDefault="00FC772B">
      <w:pPr>
        <w:pStyle w:val="Default"/>
        <w:numPr>
          <w:ilvl w:val="0"/>
          <w:numId w:val="3"/>
        </w:numPr>
        <w:spacing w:line="276" w:lineRule="auto"/>
        <w:jc w:val="both"/>
        <w:rPr>
          <w:color w:val="404040"/>
          <w:sz w:val="23"/>
          <w:szCs w:val="23"/>
        </w:rPr>
      </w:pPr>
      <w:r>
        <w:rPr>
          <w:color w:val="404040"/>
          <w:sz w:val="23"/>
          <w:szCs w:val="23"/>
        </w:rPr>
        <w:t xml:space="preserve">Pravilnik o strukturi i sadržaju godišnjih financijskih izvještaja (NN </w:t>
      </w:r>
      <w:r>
        <w:rPr>
          <w:color w:val="404040"/>
          <w:sz w:val="23"/>
          <w:szCs w:val="23"/>
          <w:lang w:val="en-US"/>
        </w:rPr>
        <w:t xml:space="preserve">95/16 </w:t>
      </w:r>
      <w:proofErr w:type="spellStart"/>
      <w:r>
        <w:rPr>
          <w:color w:val="404040"/>
          <w:sz w:val="23"/>
          <w:szCs w:val="23"/>
          <w:lang w:val="en-US"/>
        </w:rPr>
        <w:t>do</w:t>
      </w:r>
      <w:proofErr w:type="spellEnd"/>
      <w:r>
        <w:rPr>
          <w:color w:val="404040"/>
          <w:sz w:val="23"/>
          <w:szCs w:val="23"/>
          <w:lang w:val="en-US"/>
        </w:rPr>
        <w:t xml:space="preserve"> 158/23</w:t>
      </w:r>
      <w:r>
        <w:rPr>
          <w:color w:val="404040"/>
          <w:sz w:val="23"/>
          <w:szCs w:val="23"/>
        </w:rPr>
        <w:t>)</w:t>
      </w:r>
    </w:p>
    <w:p w14:paraId="30546D29" w14:textId="77777777" w:rsidR="00747201" w:rsidRDefault="00FC772B">
      <w:pPr>
        <w:pStyle w:val="Default"/>
        <w:numPr>
          <w:ilvl w:val="0"/>
          <w:numId w:val="3"/>
        </w:numPr>
        <w:spacing w:line="276" w:lineRule="auto"/>
        <w:jc w:val="both"/>
        <w:rPr>
          <w:color w:val="404040"/>
          <w:sz w:val="23"/>
          <w:szCs w:val="23"/>
        </w:rPr>
      </w:pPr>
      <w:r>
        <w:rPr>
          <w:color w:val="404040"/>
          <w:sz w:val="23"/>
          <w:szCs w:val="23"/>
        </w:rPr>
        <w:t xml:space="preserve">HSFI (NN </w:t>
      </w:r>
      <w:r>
        <w:rPr>
          <w:color w:val="404040"/>
          <w:sz w:val="23"/>
          <w:szCs w:val="23"/>
          <w:lang w:val="en-US"/>
        </w:rPr>
        <w:t>84/24</w:t>
      </w:r>
      <w:r>
        <w:rPr>
          <w:color w:val="404040"/>
          <w:sz w:val="23"/>
          <w:szCs w:val="23"/>
        </w:rPr>
        <w:t>)</w:t>
      </w:r>
    </w:p>
    <w:p w14:paraId="30546D2A" w14:textId="77777777" w:rsidR="00747201" w:rsidRDefault="00747201">
      <w:pPr>
        <w:pStyle w:val="Default"/>
        <w:spacing w:line="276" w:lineRule="auto"/>
        <w:jc w:val="both"/>
        <w:rPr>
          <w:color w:val="404040"/>
          <w:sz w:val="23"/>
          <w:szCs w:val="23"/>
        </w:rPr>
      </w:pPr>
    </w:p>
    <w:p w14:paraId="30546D2B" w14:textId="77777777" w:rsidR="00747201" w:rsidRDefault="00FC772B">
      <w:pPr>
        <w:pStyle w:val="Default"/>
        <w:spacing w:line="276" w:lineRule="auto"/>
        <w:ind w:left="708"/>
        <w:jc w:val="both"/>
        <w:rPr>
          <w:b/>
          <w:color w:val="404040"/>
          <w:sz w:val="23"/>
          <w:szCs w:val="23"/>
        </w:rPr>
      </w:pPr>
      <w:r>
        <w:rPr>
          <w:b/>
          <w:color w:val="404040"/>
          <w:sz w:val="23"/>
          <w:szCs w:val="23"/>
        </w:rPr>
        <w:t>Izjava o usklađenosti</w:t>
      </w:r>
    </w:p>
    <w:p w14:paraId="30546D2C" w14:textId="77777777" w:rsidR="00747201" w:rsidRDefault="00FC772B">
      <w:pPr>
        <w:pStyle w:val="Default"/>
        <w:spacing w:line="276" w:lineRule="auto"/>
        <w:jc w:val="both"/>
        <w:rPr>
          <w:color w:val="404040"/>
          <w:sz w:val="23"/>
          <w:szCs w:val="23"/>
        </w:rPr>
      </w:pPr>
      <w:r>
        <w:rPr>
          <w:color w:val="404040"/>
          <w:sz w:val="23"/>
          <w:szCs w:val="23"/>
        </w:rPr>
        <w:tab/>
        <w:t xml:space="preserve">Financijski izvještaji Društva sastavljeni su u skladu s Hrvatskim standardima </w:t>
      </w:r>
      <w:proofErr w:type="spellStart"/>
      <w:r>
        <w:rPr>
          <w:color w:val="404040"/>
          <w:sz w:val="23"/>
          <w:szCs w:val="23"/>
        </w:rPr>
        <w:t>ﬁ</w:t>
      </w:r>
      <w:r>
        <w:rPr>
          <w:color w:val="404040"/>
          <w:sz w:val="23"/>
          <w:szCs w:val="23"/>
        </w:rPr>
        <w:t>nancijskog</w:t>
      </w:r>
      <w:proofErr w:type="spellEnd"/>
      <w:r>
        <w:rPr>
          <w:color w:val="404040"/>
          <w:sz w:val="23"/>
          <w:szCs w:val="23"/>
        </w:rPr>
        <w:t xml:space="preserve"> izvještavanja (u nastavku HSFI) koje je objavio Odbor za standarde financijskog izvještavanja (u nastavku Odbor) u Narodnim novinama broj (NN </w:t>
      </w:r>
      <w:r>
        <w:rPr>
          <w:color w:val="404040"/>
          <w:sz w:val="23"/>
          <w:szCs w:val="23"/>
          <w:lang w:val="en-US"/>
        </w:rPr>
        <w:t>84/24</w:t>
      </w:r>
      <w:r>
        <w:rPr>
          <w:color w:val="404040"/>
          <w:sz w:val="23"/>
          <w:szCs w:val="23"/>
        </w:rPr>
        <w:t xml:space="preserve">). HSFI nastali su sukladno Zakonu o računovodstvu </w:t>
      </w:r>
      <w:r>
        <w:rPr>
          <w:color w:val="404040"/>
          <w:sz w:val="23"/>
          <w:szCs w:val="23"/>
          <w:highlight w:val="white"/>
        </w:rPr>
        <w:t>(</w:t>
      </w:r>
      <w:r>
        <w:rPr>
          <w:color w:val="404040"/>
          <w:sz w:val="23"/>
          <w:szCs w:val="23"/>
        </w:rPr>
        <w:t xml:space="preserve">NN </w:t>
      </w:r>
      <w:r>
        <w:rPr>
          <w:color w:val="404040"/>
          <w:sz w:val="23"/>
          <w:szCs w:val="23"/>
          <w:lang w:val="en-US"/>
        </w:rPr>
        <w:t>85/24 i 145/24</w:t>
      </w:r>
      <w:r>
        <w:rPr>
          <w:color w:val="404040"/>
          <w:sz w:val="23"/>
          <w:szCs w:val="23"/>
          <w:highlight w:val="white"/>
        </w:rPr>
        <w:t>)</w:t>
      </w:r>
      <w:r>
        <w:rPr>
          <w:color w:val="404040"/>
          <w:sz w:val="23"/>
          <w:szCs w:val="23"/>
        </w:rPr>
        <w:t xml:space="preserve"> koje je donio Odbor na temelju članka 17., stavak 1., točka 1, Zakona o računovodstvu </w:t>
      </w:r>
      <w:r>
        <w:rPr>
          <w:color w:val="404040"/>
          <w:sz w:val="23"/>
          <w:szCs w:val="23"/>
          <w:highlight w:val="white"/>
        </w:rPr>
        <w:t>(</w:t>
      </w:r>
      <w:r>
        <w:rPr>
          <w:color w:val="404040"/>
          <w:sz w:val="23"/>
          <w:szCs w:val="23"/>
        </w:rPr>
        <w:t xml:space="preserve">NN </w:t>
      </w:r>
      <w:r>
        <w:rPr>
          <w:color w:val="404040"/>
          <w:sz w:val="23"/>
          <w:szCs w:val="23"/>
          <w:lang w:val="en-US"/>
        </w:rPr>
        <w:t>85/24 i 145/24</w:t>
      </w:r>
      <w:r>
        <w:rPr>
          <w:color w:val="404040"/>
          <w:sz w:val="23"/>
          <w:szCs w:val="23"/>
          <w:highlight w:val="white"/>
        </w:rPr>
        <w:t>)</w:t>
      </w:r>
      <w:r>
        <w:rPr>
          <w:color w:val="404040"/>
          <w:sz w:val="23"/>
          <w:szCs w:val="23"/>
        </w:rPr>
        <w:t>.</w:t>
      </w:r>
    </w:p>
    <w:p w14:paraId="30546D2D" w14:textId="77777777" w:rsidR="00747201" w:rsidRDefault="00747201">
      <w:pPr>
        <w:pStyle w:val="Default"/>
        <w:spacing w:line="276" w:lineRule="auto"/>
        <w:jc w:val="both"/>
        <w:rPr>
          <w:color w:val="404040"/>
          <w:sz w:val="23"/>
          <w:szCs w:val="23"/>
        </w:rPr>
      </w:pPr>
    </w:p>
    <w:p w14:paraId="30546D2E" w14:textId="77777777" w:rsidR="00747201" w:rsidRDefault="00FC772B">
      <w:pPr>
        <w:ind w:right="551"/>
        <w:jc w:val="both"/>
        <w:rPr>
          <w:b/>
          <w:color w:val="404040"/>
          <w:sz w:val="28"/>
          <w:szCs w:val="28"/>
        </w:rPr>
      </w:pPr>
      <w:r>
        <w:rPr>
          <w:b/>
          <w:color w:val="404040"/>
          <w:sz w:val="28"/>
          <w:szCs w:val="28"/>
        </w:rPr>
        <w:t>RAČUNOVODSTVENE POLITIKE</w:t>
      </w:r>
    </w:p>
    <w:p w14:paraId="30546D2F" w14:textId="77777777" w:rsidR="00747201" w:rsidRDefault="00FC772B">
      <w:pPr>
        <w:pStyle w:val="Default"/>
        <w:spacing w:line="276" w:lineRule="auto"/>
        <w:jc w:val="both"/>
        <w:rPr>
          <w:color w:val="404040"/>
          <w:sz w:val="23"/>
          <w:szCs w:val="23"/>
        </w:rPr>
      </w:pPr>
      <w:r>
        <w:rPr>
          <w:color w:val="404040"/>
          <w:sz w:val="23"/>
          <w:szCs w:val="23"/>
        </w:rPr>
        <w:tab/>
        <w:t xml:space="preserve">Društva su u skladu sa Zakonom o računovodstvu (NN </w:t>
      </w:r>
      <w:r>
        <w:rPr>
          <w:color w:val="404040"/>
          <w:sz w:val="23"/>
          <w:szCs w:val="23"/>
          <w:lang w:val="en-US"/>
        </w:rPr>
        <w:t>85/24 i 145/24</w:t>
      </w:r>
      <w:r>
        <w:rPr>
          <w:color w:val="404040"/>
          <w:sz w:val="23"/>
          <w:szCs w:val="23"/>
        </w:rPr>
        <w:t>) i Hrvatskim standardima financijskog izvještavanja (</w:t>
      </w:r>
      <w:r>
        <w:rPr>
          <w:color w:val="404040"/>
          <w:sz w:val="23"/>
          <w:szCs w:val="23"/>
          <w:lang w:val="en-US"/>
        </w:rPr>
        <w:t>NN 84/24</w:t>
      </w:r>
      <w:r>
        <w:rPr>
          <w:color w:val="404040"/>
          <w:sz w:val="23"/>
          <w:szCs w:val="23"/>
        </w:rPr>
        <w:t>).</w:t>
      </w:r>
    </w:p>
    <w:p w14:paraId="30546D30" w14:textId="77777777" w:rsidR="00747201" w:rsidRDefault="00FC772B">
      <w:pPr>
        <w:pStyle w:val="Default"/>
        <w:spacing w:line="276" w:lineRule="auto"/>
        <w:jc w:val="both"/>
        <w:rPr>
          <w:color w:val="404040"/>
          <w:sz w:val="23"/>
          <w:szCs w:val="23"/>
        </w:rPr>
      </w:pPr>
      <w:r>
        <w:rPr>
          <w:color w:val="404040"/>
          <w:sz w:val="23"/>
          <w:szCs w:val="23"/>
        </w:rPr>
        <w:tab/>
        <w:t>Financijski izvještaji sastavljeni su prema zahtjevima Pravilnika o strukturi i sadržaju financijskih izvještaja (</w:t>
      </w:r>
      <w:r>
        <w:rPr>
          <w:color w:val="404040"/>
          <w:sz w:val="23"/>
          <w:szCs w:val="23"/>
          <w:lang w:val="en-US"/>
        </w:rPr>
        <w:t xml:space="preserve">95/16 </w:t>
      </w:r>
      <w:proofErr w:type="spellStart"/>
      <w:r>
        <w:rPr>
          <w:color w:val="404040"/>
          <w:sz w:val="23"/>
          <w:szCs w:val="23"/>
          <w:lang w:val="en-US"/>
        </w:rPr>
        <w:t>do</w:t>
      </w:r>
      <w:proofErr w:type="spellEnd"/>
      <w:r>
        <w:rPr>
          <w:color w:val="404040"/>
          <w:sz w:val="23"/>
          <w:szCs w:val="23"/>
          <w:lang w:val="en-US"/>
        </w:rPr>
        <w:t xml:space="preserve"> 158/23) </w:t>
      </w:r>
      <w:r>
        <w:rPr>
          <w:color w:val="404040"/>
          <w:sz w:val="23"/>
          <w:szCs w:val="23"/>
        </w:rPr>
        <w:t xml:space="preserve">(u nastavku Pravilnik) na temelju članka 19. stavka 5. Zakona o računovodstvu (NN </w:t>
      </w:r>
      <w:r>
        <w:rPr>
          <w:color w:val="404040"/>
          <w:sz w:val="23"/>
          <w:szCs w:val="23"/>
          <w:lang w:val="en-US"/>
        </w:rPr>
        <w:t>85/24 i 145/24</w:t>
      </w:r>
      <w:r>
        <w:rPr>
          <w:color w:val="404040"/>
          <w:sz w:val="23"/>
          <w:szCs w:val="23"/>
        </w:rPr>
        <w:t>).</w:t>
      </w:r>
    </w:p>
    <w:p w14:paraId="30546D31" w14:textId="77777777" w:rsidR="00747201" w:rsidRDefault="00FC772B">
      <w:pPr>
        <w:spacing w:after="0"/>
        <w:jc w:val="both"/>
        <w:rPr>
          <w:color w:val="404040"/>
          <w:sz w:val="23"/>
          <w:szCs w:val="23"/>
        </w:rPr>
      </w:pPr>
      <w:r>
        <w:rPr>
          <w:color w:val="404040"/>
          <w:sz w:val="23"/>
          <w:szCs w:val="23"/>
        </w:rPr>
        <w:tab/>
      </w:r>
      <w:proofErr w:type="spellStart"/>
      <w:r>
        <w:rPr>
          <w:color w:val="404040"/>
          <w:sz w:val="23"/>
          <w:szCs w:val="23"/>
        </w:rPr>
        <w:t>Društvo</w:t>
      </w:r>
      <w:proofErr w:type="spellEnd"/>
      <w:r>
        <w:rPr>
          <w:color w:val="404040"/>
          <w:sz w:val="23"/>
          <w:szCs w:val="23"/>
        </w:rPr>
        <w:t xml:space="preserve"> je u </w:t>
      </w:r>
      <w:proofErr w:type="spellStart"/>
      <w:r>
        <w:rPr>
          <w:color w:val="404040"/>
          <w:sz w:val="23"/>
          <w:szCs w:val="23"/>
        </w:rPr>
        <w:t>skladu</w:t>
      </w:r>
      <w:proofErr w:type="spellEnd"/>
      <w:r>
        <w:rPr>
          <w:color w:val="404040"/>
          <w:sz w:val="23"/>
          <w:szCs w:val="23"/>
        </w:rPr>
        <w:t xml:space="preserve"> s </w:t>
      </w:r>
      <w:proofErr w:type="spellStart"/>
      <w:r>
        <w:rPr>
          <w:color w:val="404040"/>
          <w:sz w:val="23"/>
          <w:szCs w:val="23"/>
        </w:rPr>
        <w:t>Pravilnikom</w:t>
      </w:r>
      <w:proofErr w:type="spellEnd"/>
      <w:r>
        <w:rPr>
          <w:color w:val="404040"/>
          <w:sz w:val="23"/>
          <w:szCs w:val="23"/>
        </w:rPr>
        <w:t xml:space="preserve"> </w:t>
      </w:r>
      <w:proofErr w:type="spellStart"/>
      <w:r>
        <w:rPr>
          <w:color w:val="404040"/>
          <w:sz w:val="23"/>
          <w:szCs w:val="23"/>
        </w:rPr>
        <w:t>prilikom</w:t>
      </w:r>
      <w:proofErr w:type="spellEnd"/>
      <w:r>
        <w:rPr>
          <w:color w:val="404040"/>
          <w:sz w:val="23"/>
          <w:szCs w:val="23"/>
        </w:rPr>
        <w:t xml:space="preserve"> </w:t>
      </w:r>
      <w:proofErr w:type="spellStart"/>
      <w:r>
        <w:rPr>
          <w:color w:val="404040"/>
          <w:sz w:val="23"/>
          <w:szCs w:val="23"/>
        </w:rPr>
        <w:t>izrade</w:t>
      </w:r>
      <w:proofErr w:type="spellEnd"/>
      <w:r>
        <w:rPr>
          <w:color w:val="404040"/>
          <w:sz w:val="23"/>
          <w:szCs w:val="23"/>
        </w:rPr>
        <w:t xml:space="preserve"> </w:t>
      </w:r>
      <w:proofErr w:type="spellStart"/>
      <w:r>
        <w:rPr>
          <w:color w:val="404040"/>
          <w:sz w:val="23"/>
          <w:szCs w:val="23"/>
        </w:rPr>
        <w:t>financijskih</w:t>
      </w:r>
      <w:proofErr w:type="spellEnd"/>
      <w:r>
        <w:rPr>
          <w:color w:val="404040"/>
          <w:sz w:val="23"/>
          <w:szCs w:val="23"/>
        </w:rPr>
        <w:t xml:space="preserve"> </w:t>
      </w:r>
      <w:proofErr w:type="spellStart"/>
      <w:r>
        <w:rPr>
          <w:color w:val="404040"/>
          <w:sz w:val="23"/>
          <w:szCs w:val="23"/>
        </w:rPr>
        <w:t>izvještaja</w:t>
      </w:r>
      <w:proofErr w:type="spellEnd"/>
      <w:r>
        <w:rPr>
          <w:color w:val="404040"/>
          <w:sz w:val="23"/>
          <w:szCs w:val="23"/>
        </w:rPr>
        <w:t xml:space="preserve"> za 2024. </w:t>
      </w:r>
      <w:proofErr w:type="spellStart"/>
      <w:r>
        <w:rPr>
          <w:color w:val="404040"/>
          <w:sz w:val="23"/>
          <w:szCs w:val="23"/>
        </w:rPr>
        <w:t>godinu</w:t>
      </w:r>
      <w:proofErr w:type="spellEnd"/>
      <w:r>
        <w:rPr>
          <w:color w:val="404040"/>
          <w:sz w:val="23"/>
          <w:szCs w:val="23"/>
        </w:rPr>
        <w:t xml:space="preserve"> </w:t>
      </w:r>
      <w:proofErr w:type="spellStart"/>
      <w:r>
        <w:rPr>
          <w:color w:val="404040"/>
          <w:sz w:val="23"/>
          <w:szCs w:val="23"/>
        </w:rPr>
        <w:t>provelo</w:t>
      </w:r>
      <w:proofErr w:type="spellEnd"/>
      <w:r>
        <w:rPr>
          <w:color w:val="404040"/>
          <w:sz w:val="23"/>
          <w:szCs w:val="23"/>
        </w:rPr>
        <w:t xml:space="preserve"> </w:t>
      </w:r>
      <w:proofErr w:type="spellStart"/>
      <w:r>
        <w:rPr>
          <w:color w:val="404040"/>
          <w:sz w:val="23"/>
          <w:szCs w:val="23"/>
        </w:rPr>
        <w:t>reklasifikaciju</w:t>
      </w:r>
      <w:proofErr w:type="spellEnd"/>
      <w:r>
        <w:rPr>
          <w:color w:val="404040"/>
          <w:sz w:val="23"/>
          <w:szCs w:val="23"/>
        </w:rPr>
        <w:t xml:space="preserve"> </w:t>
      </w:r>
      <w:proofErr w:type="spellStart"/>
      <w:r>
        <w:rPr>
          <w:color w:val="404040"/>
          <w:sz w:val="23"/>
          <w:szCs w:val="23"/>
        </w:rPr>
        <w:t>usporednih</w:t>
      </w:r>
      <w:proofErr w:type="spellEnd"/>
      <w:r>
        <w:rPr>
          <w:color w:val="404040"/>
          <w:sz w:val="23"/>
          <w:szCs w:val="23"/>
        </w:rPr>
        <w:t xml:space="preserve"> </w:t>
      </w:r>
      <w:proofErr w:type="spellStart"/>
      <w:r>
        <w:rPr>
          <w:color w:val="404040"/>
          <w:sz w:val="23"/>
          <w:szCs w:val="23"/>
        </w:rPr>
        <w:t>podataka</w:t>
      </w:r>
      <w:proofErr w:type="spellEnd"/>
      <w:r>
        <w:rPr>
          <w:color w:val="404040"/>
          <w:sz w:val="23"/>
          <w:szCs w:val="23"/>
        </w:rPr>
        <w:t xml:space="preserve"> za 2023. </w:t>
      </w:r>
      <w:proofErr w:type="spellStart"/>
      <w:r>
        <w:rPr>
          <w:color w:val="404040"/>
          <w:sz w:val="23"/>
          <w:szCs w:val="23"/>
        </w:rPr>
        <w:t>godinu</w:t>
      </w:r>
      <w:proofErr w:type="spellEnd"/>
      <w:r>
        <w:rPr>
          <w:color w:val="404040"/>
          <w:sz w:val="23"/>
          <w:szCs w:val="23"/>
        </w:rPr>
        <w:t xml:space="preserve">. </w:t>
      </w:r>
      <w:proofErr w:type="spellStart"/>
      <w:r>
        <w:rPr>
          <w:color w:val="404040"/>
          <w:sz w:val="23"/>
          <w:szCs w:val="23"/>
        </w:rPr>
        <w:t>Navedena</w:t>
      </w:r>
      <w:proofErr w:type="spellEnd"/>
      <w:r>
        <w:rPr>
          <w:color w:val="404040"/>
          <w:sz w:val="23"/>
          <w:szCs w:val="23"/>
        </w:rPr>
        <w:t xml:space="preserve"> </w:t>
      </w:r>
      <w:proofErr w:type="spellStart"/>
      <w:r>
        <w:rPr>
          <w:color w:val="404040"/>
          <w:sz w:val="23"/>
          <w:szCs w:val="23"/>
        </w:rPr>
        <w:t>reklasifikacija</w:t>
      </w:r>
      <w:proofErr w:type="spellEnd"/>
      <w:r>
        <w:rPr>
          <w:color w:val="404040"/>
          <w:sz w:val="23"/>
          <w:szCs w:val="23"/>
        </w:rPr>
        <w:t xml:space="preserve"> </w:t>
      </w:r>
      <w:proofErr w:type="spellStart"/>
      <w:r>
        <w:rPr>
          <w:color w:val="404040"/>
          <w:sz w:val="23"/>
          <w:szCs w:val="23"/>
        </w:rPr>
        <w:t>nije</w:t>
      </w:r>
      <w:proofErr w:type="spellEnd"/>
      <w:r>
        <w:rPr>
          <w:color w:val="404040"/>
          <w:sz w:val="23"/>
          <w:szCs w:val="23"/>
        </w:rPr>
        <w:t xml:space="preserve"> </w:t>
      </w:r>
      <w:proofErr w:type="spellStart"/>
      <w:r>
        <w:rPr>
          <w:color w:val="404040"/>
          <w:sz w:val="23"/>
          <w:szCs w:val="23"/>
        </w:rPr>
        <w:t>imala</w:t>
      </w:r>
      <w:proofErr w:type="spellEnd"/>
      <w:r>
        <w:rPr>
          <w:color w:val="404040"/>
          <w:sz w:val="23"/>
          <w:szCs w:val="23"/>
        </w:rPr>
        <w:t xml:space="preserve"> </w:t>
      </w:r>
      <w:proofErr w:type="spellStart"/>
      <w:r>
        <w:rPr>
          <w:color w:val="404040"/>
          <w:sz w:val="23"/>
          <w:szCs w:val="23"/>
        </w:rPr>
        <w:t>utjecaj</w:t>
      </w:r>
      <w:proofErr w:type="spellEnd"/>
      <w:r>
        <w:rPr>
          <w:color w:val="404040"/>
          <w:sz w:val="23"/>
          <w:szCs w:val="23"/>
        </w:rPr>
        <w:t xml:space="preserve"> </w:t>
      </w:r>
      <w:proofErr w:type="spellStart"/>
      <w:r>
        <w:rPr>
          <w:color w:val="404040"/>
          <w:sz w:val="23"/>
          <w:szCs w:val="23"/>
        </w:rPr>
        <w:t>na</w:t>
      </w:r>
      <w:proofErr w:type="spellEnd"/>
      <w:r>
        <w:rPr>
          <w:color w:val="404040"/>
          <w:sz w:val="23"/>
          <w:szCs w:val="23"/>
        </w:rPr>
        <w:t xml:space="preserve"> </w:t>
      </w:r>
      <w:proofErr w:type="spellStart"/>
      <w:r>
        <w:rPr>
          <w:color w:val="404040"/>
          <w:sz w:val="23"/>
          <w:szCs w:val="23"/>
        </w:rPr>
        <w:t>iskazan</w:t>
      </w:r>
      <w:proofErr w:type="spellEnd"/>
      <w:r>
        <w:rPr>
          <w:color w:val="404040"/>
          <w:sz w:val="23"/>
          <w:szCs w:val="23"/>
        </w:rPr>
        <w:t xml:space="preserve"> </w:t>
      </w:r>
      <w:proofErr w:type="spellStart"/>
      <w:r>
        <w:rPr>
          <w:color w:val="404040"/>
          <w:sz w:val="23"/>
          <w:szCs w:val="23"/>
        </w:rPr>
        <w:t>rezultat</w:t>
      </w:r>
      <w:proofErr w:type="spellEnd"/>
      <w:r>
        <w:rPr>
          <w:color w:val="404040"/>
          <w:sz w:val="23"/>
          <w:szCs w:val="23"/>
        </w:rPr>
        <w:t xml:space="preserve"> </w:t>
      </w:r>
      <w:proofErr w:type="spellStart"/>
      <w:r>
        <w:rPr>
          <w:color w:val="404040"/>
          <w:sz w:val="23"/>
          <w:szCs w:val="23"/>
        </w:rPr>
        <w:t>niti</w:t>
      </w:r>
      <w:proofErr w:type="spellEnd"/>
      <w:r>
        <w:rPr>
          <w:color w:val="404040"/>
          <w:sz w:val="23"/>
          <w:szCs w:val="23"/>
        </w:rPr>
        <w:t xml:space="preserve"> </w:t>
      </w:r>
      <w:proofErr w:type="spellStart"/>
      <w:r>
        <w:rPr>
          <w:color w:val="404040"/>
          <w:sz w:val="23"/>
          <w:szCs w:val="23"/>
        </w:rPr>
        <w:t>na</w:t>
      </w:r>
      <w:proofErr w:type="spellEnd"/>
      <w:r>
        <w:rPr>
          <w:color w:val="404040"/>
          <w:sz w:val="23"/>
          <w:szCs w:val="23"/>
        </w:rPr>
        <w:t xml:space="preserve"> </w:t>
      </w:r>
      <w:proofErr w:type="spellStart"/>
      <w:r>
        <w:rPr>
          <w:color w:val="404040"/>
          <w:sz w:val="23"/>
          <w:szCs w:val="23"/>
        </w:rPr>
        <w:t>pozicije</w:t>
      </w:r>
      <w:proofErr w:type="spellEnd"/>
      <w:r>
        <w:rPr>
          <w:color w:val="404040"/>
          <w:sz w:val="23"/>
          <w:szCs w:val="23"/>
        </w:rPr>
        <w:t xml:space="preserve"> </w:t>
      </w:r>
      <w:proofErr w:type="spellStart"/>
      <w:r>
        <w:rPr>
          <w:color w:val="404040"/>
          <w:sz w:val="23"/>
          <w:szCs w:val="23"/>
        </w:rPr>
        <w:t>aktive</w:t>
      </w:r>
      <w:proofErr w:type="spellEnd"/>
      <w:r>
        <w:rPr>
          <w:color w:val="404040"/>
          <w:sz w:val="23"/>
          <w:szCs w:val="23"/>
        </w:rPr>
        <w:t xml:space="preserve"> </w:t>
      </w:r>
      <w:proofErr w:type="spellStart"/>
      <w:r>
        <w:rPr>
          <w:color w:val="404040"/>
          <w:sz w:val="23"/>
          <w:szCs w:val="23"/>
        </w:rPr>
        <w:t>te</w:t>
      </w:r>
      <w:proofErr w:type="spellEnd"/>
      <w:r>
        <w:rPr>
          <w:color w:val="404040"/>
          <w:sz w:val="23"/>
          <w:szCs w:val="23"/>
        </w:rPr>
        <w:t xml:space="preserve"> </w:t>
      </w:r>
      <w:proofErr w:type="spellStart"/>
      <w:r>
        <w:rPr>
          <w:color w:val="404040"/>
          <w:sz w:val="23"/>
          <w:szCs w:val="23"/>
        </w:rPr>
        <w:t>kapitala</w:t>
      </w:r>
      <w:proofErr w:type="spellEnd"/>
      <w:r>
        <w:rPr>
          <w:color w:val="404040"/>
          <w:sz w:val="23"/>
          <w:szCs w:val="23"/>
        </w:rPr>
        <w:t xml:space="preserve"> i </w:t>
      </w:r>
      <w:proofErr w:type="spellStart"/>
      <w:r>
        <w:rPr>
          <w:color w:val="404040"/>
          <w:sz w:val="23"/>
          <w:szCs w:val="23"/>
        </w:rPr>
        <w:t>rezervi</w:t>
      </w:r>
      <w:proofErr w:type="spellEnd"/>
      <w:r>
        <w:rPr>
          <w:color w:val="404040"/>
          <w:sz w:val="23"/>
          <w:szCs w:val="23"/>
        </w:rPr>
        <w:t xml:space="preserve"> u </w:t>
      </w:r>
      <w:proofErr w:type="spellStart"/>
      <w:r>
        <w:rPr>
          <w:color w:val="404040"/>
          <w:sz w:val="23"/>
          <w:szCs w:val="23"/>
        </w:rPr>
        <w:t>usporednim</w:t>
      </w:r>
      <w:proofErr w:type="spellEnd"/>
      <w:r>
        <w:rPr>
          <w:color w:val="404040"/>
          <w:sz w:val="23"/>
          <w:szCs w:val="23"/>
        </w:rPr>
        <w:t xml:space="preserve"> </w:t>
      </w:r>
      <w:proofErr w:type="spellStart"/>
      <w:r>
        <w:rPr>
          <w:color w:val="404040"/>
          <w:sz w:val="23"/>
          <w:szCs w:val="23"/>
        </w:rPr>
        <w:t>financijskim</w:t>
      </w:r>
      <w:proofErr w:type="spellEnd"/>
      <w:r>
        <w:rPr>
          <w:color w:val="404040"/>
          <w:sz w:val="23"/>
          <w:szCs w:val="23"/>
        </w:rPr>
        <w:t xml:space="preserve"> </w:t>
      </w:r>
      <w:proofErr w:type="spellStart"/>
      <w:r>
        <w:rPr>
          <w:color w:val="404040"/>
          <w:sz w:val="23"/>
          <w:szCs w:val="23"/>
        </w:rPr>
        <w:t>izvještajima</w:t>
      </w:r>
      <w:proofErr w:type="spellEnd"/>
      <w:r>
        <w:rPr>
          <w:color w:val="404040"/>
          <w:sz w:val="23"/>
          <w:szCs w:val="23"/>
        </w:rPr>
        <w:t xml:space="preserve"> za 2023. </w:t>
      </w:r>
      <w:proofErr w:type="spellStart"/>
      <w:r>
        <w:rPr>
          <w:color w:val="404040"/>
          <w:sz w:val="23"/>
          <w:szCs w:val="23"/>
        </w:rPr>
        <w:t>godinu</w:t>
      </w:r>
      <w:proofErr w:type="spellEnd"/>
      <w:r>
        <w:rPr>
          <w:color w:val="404040"/>
          <w:sz w:val="23"/>
          <w:szCs w:val="23"/>
        </w:rPr>
        <w:t>.</w:t>
      </w:r>
    </w:p>
    <w:p w14:paraId="30546D32" w14:textId="77777777" w:rsidR="00747201" w:rsidRDefault="00FC772B">
      <w:pPr>
        <w:spacing w:after="0"/>
        <w:jc w:val="both"/>
        <w:rPr>
          <w:color w:val="404040"/>
          <w:sz w:val="23"/>
          <w:szCs w:val="23"/>
        </w:rPr>
      </w:pPr>
      <w:r>
        <w:rPr>
          <w:color w:val="404040"/>
          <w:sz w:val="23"/>
          <w:szCs w:val="23"/>
        </w:rPr>
        <w:tab/>
      </w:r>
      <w:proofErr w:type="spellStart"/>
      <w:r>
        <w:rPr>
          <w:color w:val="404040"/>
          <w:sz w:val="23"/>
          <w:szCs w:val="23"/>
        </w:rPr>
        <w:t>Društvo</w:t>
      </w:r>
      <w:proofErr w:type="spellEnd"/>
      <w:r>
        <w:rPr>
          <w:color w:val="404040"/>
          <w:sz w:val="23"/>
          <w:szCs w:val="23"/>
        </w:rPr>
        <w:t xml:space="preserve"> je </w:t>
      </w:r>
      <w:proofErr w:type="spellStart"/>
      <w:r>
        <w:rPr>
          <w:color w:val="404040"/>
          <w:sz w:val="23"/>
          <w:szCs w:val="23"/>
        </w:rPr>
        <w:t>tijekom</w:t>
      </w:r>
      <w:proofErr w:type="spellEnd"/>
      <w:r>
        <w:rPr>
          <w:color w:val="404040"/>
          <w:sz w:val="23"/>
          <w:szCs w:val="23"/>
        </w:rPr>
        <w:t xml:space="preserve"> </w:t>
      </w:r>
      <w:proofErr w:type="spellStart"/>
      <w:r>
        <w:rPr>
          <w:color w:val="404040"/>
          <w:sz w:val="23"/>
          <w:szCs w:val="23"/>
        </w:rPr>
        <w:t>godine</w:t>
      </w:r>
      <w:proofErr w:type="spellEnd"/>
      <w:r>
        <w:rPr>
          <w:color w:val="404040"/>
          <w:sz w:val="23"/>
          <w:szCs w:val="23"/>
        </w:rPr>
        <w:t xml:space="preserve"> </w:t>
      </w:r>
      <w:proofErr w:type="spellStart"/>
      <w:r>
        <w:rPr>
          <w:color w:val="404040"/>
          <w:sz w:val="23"/>
          <w:szCs w:val="23"/>
        </w:rPr>
        <w:t>usvojilo</w:t>
      </w:r>
      <w:proofErr w:type="spellEnd"/>
      <w:r>
        <w:rPr>
          <w:color w:val="404040"/>
          <w:sz w:val="23"/>
          <w:szCs w:val="23"/>
        </w:rPr>
        <w:t xml:space="preserve"> </w:t>
      </w:r>
      <w:proofErr w:type="spellStart"/>
      <w:r>
        <w:rPr>
          <w:color w:val="404040"/>
          <w:sz w:val="23"/>
          <w:szCs w:val="23"/>
        </w:rPr>
        <w:t>nove</w:t>
      </w:r>
      <w:proofErr w:type="spellEnd"/>
      <w:r>
        <w:rPr>
          <w:color w:val="404040"/>
          <w:sz w:val="23"/>
          <w:szCs w:val="23"/>
        </w:rPr>
        <w:t xml:space="preserve"> HSFI-eve </w:t>
      </w:r>
      <w:proofErr w:type="spellStart"/>
      <w:r>
        <w:rPr>
          <w:color w:val="404040"/>
          <w:sz w:val="23"/>
          <w:szCs w:val="23"/>
        </w:rPr>
        <w:t>koje</w:t>
      </w:r>
      <w:proofErr w:type="spellEnd"/>
      <w:r>
        <w:rPr>
          <w:color w:val="404040"/>
          <w:sz w:val="23"/>
          <w:szCs w:val="23"/>
        </w:rPr>
        <w:t xml:space="preserve"> je </w:t>
      </w:r>
      <w:proofErr w:type="spellStart"/>
      <w:r>
        <w:rPr>
          <w:color w:val="404040"/>
          <w:sz w:val="23"/>
          <w:szCs w:val="23"/>
        </w:rPr>
        <w:t>objavio</w:t>
      </w:r>
      <w:proofErr w:type="spellEnd"/>
      <w:r>
        <w:rPr>
          <w:color w:val="404040"/>
          <w:sz w:val="23"/>
          <w:szCs w:val="23"/>
        </w:rPr>
        <w:t xml:space="preserve"> </w:t>
      </w:r>
      <w:proofErr w:type="spellStart"/>
      <w:r>
        <w:rPr>
          <w:color w:val="404040"/>
          <w:sz w:val="23"/>
          <w:szCs w:val="23"/>
        </w:rPr>
        <w:t>Odbor</w:t>
      </w:r>
      <w:proofErr w:type="spellEnd"/>
      <w:r>
        <w:rPr>
          <w:color w:val="404040"/>
          <w:sz w:val="23"/>
          <w:szCs w:val="23"/>
        </w:rPr>
        <w:t xml:space="preserve"> u </w:t>
      </w:r>
      <w:proofErr w:type="spellStart"/>
      <w:r>
        <w:rPr>
          <w:color w:val="404040"/>
          <w:sz w:val="23"/>
          <w:szCs w:val="23"/>
        </w:rPr>
        <w:t>Narodnim</w:t>
      </w:r>
      <w:proofErr w:type="spellEnd"/>
      <w:r>
        <w:rPr>
          <w:color w:val="404040"/>
          <w:sz w:val="23"/>
          <w:szCs w:val="23"/>
        </w:rPr>
        <w:t xml:space="preserve"> </w:t>
      </w:r>
      <w:proofErr w:type="spellStart"/>
      <w:r>
        <w:rPr>
          <w:color w:val="404040"/>
          <w:sz w:val="23"/>
          <w:szCs w:val="23"/>
        </w:rPr>
        <w:t>novinama</w:t>
      </w:r>
      <w:proofErr w:type="spellEnd"/>
      <w:r>
        <w:rPr>
          <w:color w:val="404040"/>
          <w:sz w:val="23"/>
          <w:szCs w:val="23"/>
        </w:rPr>
        <w:t xml:space="preserve"> koji </w:t>
      </w:r>
      <w:proofErr w:type="spellStart"/>
      <w:r>
        <w:rPr>
          <w:color w:val="404040"/>
          <w:sz w:val="23"/>
          <w:szCs w:val="23"/>
        </w:rPr>
        <w:t>nisu</w:t>
      </w:r>
      <w:proofErr w:type="spellEnd"/>
      <w:r>
        <w:rPr>
          <w:color w:val="404040"/>
          <w:sz w:val="23"/>
          <w:szCs w:val="23"/>
        </w:rPr>
        <w:t xml:space="preserve"> </w:t>
      </w:r>
      <w:proofErr w:type="spellStart"/>
      <w:r>
        <w:rPr>
          <w:color w:val="404040"/>
          <w:sz w:val="23"/>
          <w:szCs w:val="23"/>
        </w:rPr>
        <w:t>imali</w:t>
      </w:r>
      <w:proofErr w:type="spellEnd"/>
      <w:r>
        <w:rPr>
          <w:color w:val="404040"/>
          <w:sz w:val="23"/>
          <w:szCs w:val="23"/>
        </w:rPr>
        <w:t xml:space="preserve"> </w:t>
      </w:r>
      <w:proofErr w:type="spellStart"/>
      <w:r>
        <w:rPr>
          <w:color w:val="404040"/>
          <w:sz w:val="23"/>
          <w:szCs w:val="23"/>
        </w:rPr>
        <w:t>utjecaja</w:t>
      </w:r>
      <w:proofErr w:type="spellEnd"/>
      <w:r>
        <w:rPr>
          <w:color w:val="404040"/>
          <w:sz w:val="23"/>
          <w:szCs w:val="23"/>
        </w:rPr>
        <w:t xml:space="preserve"> </w:t>
      </w:r>
      <w:proofErr w:type="spellStart"/>
      <w:r>
        <w:rPr>
          <w:color w:val="404040"/>
          <w:sz w:val="23"/>
          <w:szCs w:val="23"/>
        </w:rPr>
        <w:t>na</w:t>
      </w:r>
      <w:proofErr w:type="spellEnd"/>
      <w:r>
        <w:rPr>
          <w:color w:val="404040"/>
          <w:sz w:val="23"/>
          <w:szCs w:val="23"/>
        </w:rPr>
        <w:t xml:space="preserve"> </w:t>
      </w:r>
      <w:proofErr w:type="spellStart"/>
      <w:r>
        <w:rPr>
          <w:color w:val="404040"/>
          <w:sz w:val="23"/>
          <w:szCs w:val="23"/>
        </w:rPr>
        <w:t>usporedne</w:t>
      </w:r>
      <w:proofErr w:type="spellEnd"/>
      <w:r>
        <w:rPr>
          <w:color w:val="404040"/>
          <w:sz w:val="23"/>
          <w:szCs w:val="23"/>
        </w:rPr>
        <w:t xml:space="preserve"> </w:t>
      </w:r>
      <w:proofErr w:type="spellStart"/>
      <w:r>
        <w:rPr>
          <w:color w:val="404040"/>
          <w:sz w:val="23"/>
          <w:szCs w:val="23"/>
        </w:rPr>
        <w:t>podatke</w:t>
      </w:r>
      <w:proofErr w:type="spellEnd"/>
      <w:r>
        <w:rPr>
          <w:color w:val="404040"/>
          <w:sz w:val="23"/>
          <w:szCs w:val="23"/>
        </w:rPr>
        <w:t xml:space="preserve"> </w:t>
      </w:r>
      <w:proofErr w:type="spellStart"/>
      <w:r>
        <w:rPr>
          <w:color w:val="404040"/>
          <w:sz w:val="23"/>
          <w:szCs w:val="23"/>
        </w:rPr>
        <w:t>niti</w:t>
      </w:r>
      <w:proofErr w:type="spellEnd"/>
      <w:r>
        <w:rPr>
          <w:color w:val="404040"/>
          <w:sz w:val="23"/>
          <w:szCs w:val="23"/>
        </w:rPr>
        <w:t xml:space="preserve"> </w:t>
      </w:r>
      <w:proofErr w:type="spellStart"/>
      <w:r>
        <w:rPr>
          <w:color w:val="404040"/>
          <w:sz w:val="23"/>
          <w:szCs w:val="23"/>
        </w:rPr>
        <w:t>na</w:t>
      </w:r>
      <w:proofErr w:type="spellEnd"/>
      <w:r>
        <w:rPr>
          <w:color w:val="404040"/>
          <w:sz w:val="23"/>
          <w:szCs w:val="23"/>
        </w:rPr>
        <w:t xml:space="preserve"> </w:t>
      </w:r>
      <w:proofErr w:type="spellStart"/>
      <w:r>
        <w:rPr>
          <w:color w:val="404040"/>
          <w:sz w:val="23"/>
          <w:szCs w:val="23"/>
        </w:rPr>
        <w:t>računovodstvene</w:t>
      </w:r>
      <w:proofErr w:type="spellEnd"/>
      <w:r>
        <w:rPr>
          <w:color w:val="404040"/>
          <w:sz w:val="23"/>
          <w:szCs w:val="23"/>
        </w:rPr>
        <w:t xml:space="preserve"> </w:t>
      </w:r>
      <w:proofErr w:type="spellStart"/>
      <w:r>
        <w:rPr>
          <w:color w:val="404040"/>
          <w:sz w:val="23"/>
          <w:szCs w:val="23"/>
        </w:rPr>
        <w:t>politike</w:t>
      </w:r>
      <w:proofErr w:type="spellEnd"/>
      <w:r>
        <w:rPr>
          <w:color w:val="404040"/>
          <w:sz w:val="23"/>
          <w:szCs w:val="23"/>
        </w:rPr>
        <w:t xml:space="preserve"> </w:t>
      </w:r>
      <w:proofErr w:type="spellStart"/>
      <w:r>
        <w:rPr>
          <w:color w:val="404040"/>
          <w:sz w:val="23"/>
          <w:szCs w:val="23"/>
        </w:rPr>
        <w:t>prilikom</w:t>
      </w:r>
      <w:proofErr w:type="spellEnd"/>
      <w:r>
        <w:rPr>
          <w:color w:val="404040"/>
          <w:sz w:val="23"/>
          <w:szCs w:val="23"/>
        </w:rPr>
        <w:t xml:space="preserve"> </w:t>
      </w:r>
      <w:proofErr w:type="spellStart"/>
      <w:r>
        <w:rPr>
          <w:color w:val="404040"/>
          <w:sz w:val="23"/>
          <w:szCs w:val="23"/>
        </w:rPr>
        <w:t>definiranja</w:t>
      </w:r>
      <w:proofErr w:type="spellEnd"/>
      <w:r>
        <w:rPr>
          <w:color w:val="404040"/>
          <w:sz w:val="23"/>
          <w:szCs w:val="23"/>
        </w:rPr>
        <w:t xml:space="preserve"> </w:t>
      </w:r>
      <w:proofErr w:type="spellStart"/>
      <w:r>
        <w:rPr>
          <w:color w:val="404040"/>
          <w:sz w:val="23"/>
          <w:szCs w:val="23"/>
        </w:rPr>
        <w:t>financijskih</w:t>
      </w:r>
      <w:proofErr w:type="spellEnd"/>
      <w:r>
        <w:rPr>
          <w:color w:val="404040"/>
          <w:sz w:val="23"/>
          <w:szCs w:val="23"/>
        </w:rPr>
        <w:t xml:space="preserve"> </w:t>
      </w:r>
      <w:proofErr w:type="spellStart"/>
      <w:r>
        <w:rPr>
          <w:color w:val="404040"/>
          <w:sz w:val="23"/>
          <w:szCs w:val="23"/>
        </w:rPr>
        <w:t>izvještaja</w:t>
      </w:r>
      <w:proofErr w:type="spellEnd"/>
      <w:r>
        <w:rPr>
          <w:color w:val="404040"/>
          <w:sz w:val="23"/>
          <w:szCs w:val="23"/>
        </w:rPr>
        <w:t xml:space="preserve"> za 2024. </w:t>
      </w:r>
      <w:proofErr w:type="spellStart"/>
      <w:r>
        <w:rPr>
          <w:color w:val="404040"/>
          <w:sz w:val="23"/>
          <w:szCs w:val="23"/>
        </w:rPr>
        <w:t>godinu</w:t>
      </w:r>
      <w:proofErr w:type="spellEnd"/>
      <w:r>
        <w:rPr>
          <w:color w:val="404040"/>
          <w:sz w:val="23"/>
          <w:szCs w:val="23"/>
        </w:rPr>
        <w:t>.</w:t>
      </w:r>
    </w:p>
    <w:p w14:paraId="30546D33" w14:textId="77777777" w:rsidR="00747201" w:rsidRDefault="00FC772B">
      <w:pPr>
        <w:spacing w:after="0"/>
        <w:jc w:val="both"/>
        <w:rPr>
          <w:color w:val="404040"/>
          <w:sz w:val="23"/>
          <w:szCs w:val="23"/>
        </w:rPr>
      </w:pPr>
      <w:r>
        <w:rPr>
          <w:color w:val="404040"/>
          <w:sz w:val="23"/>
          <w:szCs w:val="23"/>
        </w:rPr>
        <w:tab/>
      </w:r>
      <w:proofErr w:type="spellStart"/>
      <w:r>
        <w:rPr>
          <w:color w:val="404040"/>
          <w:sz w:val="23"/>
          <w:szCs w:val="23"/>
        </w:rPr>
        <w:t>Financijski</w:t>
      </w:r>
      <w:proofErr w:type="spellEnd"/>
      <w:r>
        <w:rPr>
          <w:color w:val="404040"/>
          <w:sz w:val="23"/>
          <w:szCs w:val="23"/>
        </w:rPr>
        <w:t xml:space="preserve"> </w:t>
      </w:r>
      <w:proofErr w:type="spellStart"/>
      <w:r>
        <w:rPr>
          <w:color w:val="404040"/>
          <w:sz w:val="23"/>
          <w:szCs w:val="23"/>
        </w:rPr>
        <w:t>izvještaji</w:t>
      </w:r>
      <w:proofErr w:type="spellEnd"/>
      <w:r>
        <w:rPr>
          <w:color w:val="404040"/>
          <w:sz w:val="23"/>
          <w:szCs w:val="23"/>
        </w:rPr>
        <w:t xml:space="preserve"> </w:t>
      </w:r>
      <w:proofErr w:type="spellStart"/>
      <w:r>
        <w:rPr>
          <w:color w:val="404040"/>
          <w:sz w:val="23"/>
          <w:szCs w:val="23"/>
        </w:rPr>
        <w:t>pripremljeni</w:t>
      </w:r>
      <w:proofErr w:type="spellEnd"/>
      <w:r>
        <w:rPr>
          <w:color w:val="404040"/>
          <w:sz w:val="23"/>
          <w:szCs w:val="23"/>
        </w:rPr>
        <w:t xml:space="preserve"> </w:t>
      </w:r>
      <w:proofErr w:type="spellStart"/>
      <w:r>
        <w:rPr>
          <w:color w:val="404040"/>
          <w:sz w:val="23"/>
          <w:szCs w:val="23"/>
        </w:rPr>
        <w:t>su</w:t>
      </w:r>
      <w:proofErr w:type="spellEnd"/>
      <w:r>
        <w:rPr>
          <w:color w:val="404040"/>
          <w:sz w:val="23"/>
          <w:szCs w:val="23"/>
        </w:rPr>
        <w:t xml:space="preserve"> po </w:t>
      </w:r>
      <w:proofErr w:type="spellStart"/>
      <w:r>
        <w:rPr>
          <w:color w:val="404040"/>
          <w:sz w:val="23"/>
          <w:szCs w:val="23"/>
        </w:rPr>
        <w:t>načelu</w:t>
      </w:r>
      <w:proofErr w:type="spellEnd"/>
      <w:r>
        <w:rPr>
          <w:color w:val="404040"/>
          <w:sz w:val="23"/>
          <w:szCs w:val="23"/>
        </w:rPr>
        <w:t xml:space="preserve"> </w:t>
      </w:r>
      <w:proofErr w:type="spellStart"/>
      <w:r>
        <w:rPr>
          <w:color w:val="404040"/>
          <w:sz w:val="23"/>
          <w:szCs w:val="23"/>
        </w:rPr>
        <w:t>povijesnog</w:t>
      </w:r>
      <w:proofErr w:type="spellEnd"/>
      <w:r>
        <w:rPr>
          <w:color w:val="404040"/>
          <w:sz w:val="23"/>
          <w:szCs w:val="23"/>
        </w:rPr>
        <w:t xml:space="preserve"> </w:t>
      </w:r>
      <w:proofErr w:type="spellStart"/>
      <w:r>
        <w:rPr>
          <w:color w:val="404040"/>
          <w:sz w:val="23"/>
          <w:szCs w:val="23"/>
        </w:rPr>
        <w:t>troška</w:t>
      </w:r>
      <w:proofErr w:type="spellEnd"/>
      <w:r>
        <w:rPr>
          <w:color w:val="404040"/>
          <w:sz w:val="23"/>
          <w:szCs w:val="23"/>
        </w:rPr>
        <w:t xml:space="preserve"> i </w:t>
      </w:r>
      <w:proofErr w:type="spellStart"/>
      <w:r>
        <w:rPr>
          <w:color w:val="404040"/>
          <w:sz w:val="23"/>
          <w:szCs w:val="23"/>
        </w:rPr>
        <w:t>sastavljeni</w:t>
      </w:r>
      <w:proofErr w:type="spellEnd"/>
      <w:r>
        <w:rPr>
          <w:color w:val="404040"/>
          <w:sz w:val="23"/>
          <w:szCs w:val="23"/>
        </w:rPr>
        <w:t xml:space="preserve"> po </w:t>
      </w:r>
      <w:proofErr w:type="spellStart"/>
      <w:r>
        <w:rPr>
          <w:color w:val="404040"/>
          <w:sz w:val="23"/>
          <w:szCs w:val="23"/>
        </w:rPr>
        <w:t>načelu</w:t>
      </w:r>
      <w:proofErr w:type="spellEnd"/>
      <w:r>
        <w:rPr>
          <w:color w:val="404040"/>
          <w:sz w:val="23"/>
          <w:szCs w:val="23"/>
        </w:rPr>
        <w:t xml:space="preserve"> </w:t>
      </w:r>
      <w:proofErr w:type="spellStart"/>
      <w:r>
        <w:rPr>
          <w:color w:val="404040"/>
          <w:sz w:val="23"/>
          <w:szCs w:val="23"/>
        </w:rPr>
        <w:t>nastanka</w:t>
      </w:r>
      <w:proofErr w:type="spellEnd"/>
      <w:r>
        <w:rPr>
          <w:color w:val="404040"/>
          <w:sz w:val="23"/>
          <w:szCs w:val="23"/>
        </w:rPr>
        <w:t xml:space="preserve"> </w:t>
      </w:r>
      <w:proofErr w:type="spellStart"/>
      <w:r>
        <w:rPr>
          <w:color w:val="404040"/>
          <w:sz w:val="23"/>
          <w:szCs w:val="23"/>
        </w:rPr>
        <w:t>poslovnog</w:t>
      </w:r>
      <w:proofErr w:type="spellEnd"/>
      <w:r>
        <w:rPr>
          <w:color w:val="404040"/>
          <w:sz w:val="23"/>
          <w:szCs w:val="23"/>
        </w:rPr>
        <w:t xml:space="preserve"> </w:t>
      </w:r>
      <w:proofErr w:type="spellStart"/>
      <w:r>
        <w:rPr>
          <w:color w:val="404040"/>
          <w:sz w:val="23"/>
          <w:szCs w:val="23"/>
        </w:rPr>
        <w:t>događaja</w:t>
      </w:r>
      <w:proofErr w:type="spellEnd"/>
      <w:r>
        <w:rPr>
          <w:color w:val="404040"/>
          <w:sz w:val="23"/>
          <w:szCs w:val="23"/>
        </w:rPr>
        <w:t xml:space="preserve"> </w:t>
      </w:r>
      <w:proofErr w:type="spellStart"/>
      <w:r>
        <w:rPr>
          <w:color w:val="404040"/>
          <w:sz w:val="23"/>
          <w:szCs w:val="23"/>
        </w:rPr>
        <w:t>te</w:t>
      </w:r>
      <w:proofErr w:type="spellEnd"/>
      <w:r>
        <w:rPr>
          <w:color w:val="404040"/>
          <w:sz w:val="23"/>
          <w:szCs w:val="23"/>
        </w:rPr>
        <w:t xml:space="preserve"> pod </w:t>
      </w:r>
      <w:proofErr w:type="spellStart"/>
      <w:r>
        <w:rPr>
          <w:color w:val="404040"/>
          <w:sz w:val="23"/>
          <w:szCs w:val="23"/>
        </w:rPr>
        <w:t>pretpostavkom</w:t>
      </w:r>
      <w:proofErr w:type="spellEnd"/>
      <w:r>
        <w:rPr>
          <w:color w:val="404040"/>
          <w:sz w:val="23"/>
          <w:szCs w:val="23"/>
        </w:rPr>
        <w:t xml:space="preserve"> </w:t>
      </w:r>
      <w:proofErr w:type="spellStart"/>
      <w:r>
        <w:rPr>
          <w:color w:val="404040"/>
          <w:sz w:val="23"/>
          <w:szCs w:val="23"/>
        </w:rPr>
        <w:t>vremenske</w:t>
      </w:r>
      <w:proofErr w:type="spellEnd"/>
      <w:r>
        <w:rPr>
          <w:color w:val="404040"/>
          <w:sz w:val="23"/>
          <w:szCs w:val="23"/>
        </w:rPr>
        <w:t xml:space="preserve"> </w:t>
      </w:r>
      <w:proofErr w:type="spellStart"/>
      <w:r>
        <w:rPr>
          <w:color w:val="404040"/>
          <w:sz w:val="23"/>
          <w:szCs w:val="23"/>
        </w:rPr>
        <w:t>neograničenosti</w:t>
      </w:r>
      <w:proofErr w:type="spellEnd"/>
      <w:r>
        <w:rPr>
          <w:color w:val="404040"/>
          <w:sz w:val="23"/>
          <w:szCs w:val="23"/>
        </w:rPr>
        <w:t xml:space="preserve"> </w:t>
      </w:r>
      <w:proofErr w:type="spellStart"/>
      <w:r>
        <w:rPr>
          <w:color w:val="404040"/>
          <w:sz w:val="23"/>
          <w:szCs w:val="23"/>
        </w:rPr>
        <w:t>poslovanja</w:t>
      </w:r>
      <w:proofErr w:type="spellEnd"/>
      <w:r>
        <w:rPr>
          <w:color w:val="404040"/>
          <w:sz w:val="23"/>
          <w:szCs w:val="23"/>
        </w:rPr>
        <w:t xml:space="preserve"> i </w:t>
      </w:r>
      <w:r>
        <w:rPr>
          <w:b/>
          <w:bCs/>
          <w:color w:val="404040"/>
          <w:sz w:val="23"/>
          <w:szCs w:val="23"/>
        </w:rPr>
        <w:t xml:space="preserve">HSFI 18 – </w:t>
      </w:r>
      <w:proofErr w:type="spellStart"/>
      <w:r>
        <w:rPr>
          <w:b/>
          <w:bCs/>
          <w:color w:val="404040"/>
          <w:sz w:val="23"/>
          <w:szCs w:val="23"/>
        </w:rPr>
        <w:t>Vremenska</w:t>
      </w:r>
      <w:proofErr w:type="spellEnd"/>
      <w:r>
        <w:rPr>
          <w:b/>
          <w:bCs/>
          <w:color w:val="404040"/>
          <w:sz w:val="23"/>
          <w:szCs w:val="23"/>
        </w:rPr>
        <w:t xml:space="preserve"> </w:t>
      </w:r>
      <w:proofErr w:type="spellStart"/>
      <w:r>
        <w:rPr>
          <w:b/>
          <w:bCs/>
          <w:color w:val="404040"/>
          <w:sz w:val="23"/>
          <w:szCs w:val="23"/>
        </w:rPr>
        <w:t>ograničenost</w:t>
      </w:r>
      <w:proofErr w:type="spellEnd"/>
      <w:r>
        <w:rPr>
          <w:b/>
          <w:bCs/>
          <w:color w:val="404040"/>
          <w:sz w:val="23"/>
          <w:szCs w:val="23"/>
        </w:rPr>
        <w:t xml:space="preserve"> </w:t>
      </w:r>
      <w:proofErr w:type="spellStart"/>
      <w:r>
        <w:rPr>
          <w:b/>
          <w:bCs/>
          <w:color w:val="404040"/>
          <w:sz w:val="23"/>
          <w:szCs w:val="23"/>
        </w:rPr>
        <w:t>poslovanja</w:t>
      </w:r>
      <w:proofErr w:type="spellEnd"/>
      <w:r>
        <w:rPr>
          <w:color w:val="404040"/>
          <w:sz w:val="23"/>
          <w:szCs w:val="23"/>
        </w:rPr>
        <w:t> se </w:t>
      </w:r>
      <w:r>
        <w:rPr>
          <w:b/>
          <w:bCs/>
          <w:color w:val="404040"/>
          <w:sz w:val="23"/>
          <w:szCs w:val="23"/>
        </w:rPr>
        <w:t xml:space="preserve">ne </w:t>
      </w:r>
      <w:proofErr w:type="spellStart"/>
      <w:r>
        <w:rPr>
          <w:b/>
          <w:bCs/>
          <w:color w:val="404040"/>
          <w:sz w:val="23"/>
          <w:szCs w:val="23"/>
        </w:rPr>
        <w:t>primjenjuje</w:t>
      </w:r>
      <w:proofErr w:type="spellEnd"/>
      <w:r>
        <w:rPr>
          <w:b/>
          <w:bCs/>
          <w:color w:val="404040"/>
          <w:sz w:val="23"/>
          <w:szCs w:val="23"/>
        </w:rPr>
        <w:t>.</w:t>
      </w:r>
    </w:p>
    <w:p w14:paraId="30546D34" w14:textId="77777777" w:rsidR="00747201" w:rsidRDefault="00747201">
      <w:pPr>
        <w:spacing w:after="0"/>
        <w:jc w:val="both"/>
        <w:rPr>
          <w:color w:val="404040"/>
          <w:sz w:val="23"/>
          <w:szCs w:val="23"/>
        </w:rPr>
      </w:pPr>
    </w:p>
    <w:p w14:paraId="30546D35" w14:textId="77777777" w:rsidR="00747201" w:rsidRDefault="00747201">
      <w:pPr>
        <w:spacing w:after="0"/>
        <w:jc w:val="both"/>
        <w:rPr>
          <w:color w:val="404040"/>
          <w:sz w:val="23"/>
          <w:szCs w:val="23"/>
        </w:rPr>
      </w:pPr>
    </w:p>
    <w:p w14:paraId="30546D36" w14:textId="77777777" w:rsidR="00747201" w:rsidRDefault="00747201">
      <w:pPr>
        <w:spacing w:after="0"/>
        <w:jc w:val="both"/>
        <w:rPr>
          <w:color w:val="404040"/>
          <w:sz w:val="23"/>
          <w:szCs w:val="23"/>
        </w:rPr>
      </w:pPr>
    </w:p>
    <w:p w14:paraId="30546D37" w14:textId="77777777" w:rsidR="00747201" w:rsidRDefault="00FC772B">
      <w:pPr>
        <w:spacing w:after="0"/>
        <w:ind w:right="551"/>
        <w:jc w:val="both"/>
        <w:rPr>
          <w:b/>
          <w:color w:val="404040"/>
          <w:sz w:val="28"/>
          <w:szCs w:val="28"/>
        </w:rPr>
      </w:pPr>
      <w:r>
        <w:rPr>
          <w:b/>
          <w:color w:val="404040"/>
          <w:sz w:val="28"/>
          <w:szCs w:val="28"/>
        </w:rPr>
        <w:t>ZNAČAJNE RAČUNOVODSTVENE POLITIKE</w:t>
      </w:r>
    </w:p>
    <w:p w14:paraId="30546D38" w14:textId="77777777" w:rsidR="00747201" w:rsidRDefault="00747201">
      <w:pPr>
        <w:spacing w:after="0"/>
        <w:ind w:right="551"/>
        <w:jc w:val="both"/>
        <w:rPr>
          <w:color w:val="404040"/>
          <w:sz w:val="23"/>
          <w:szCs w:val="23"/>
        </w:rPr>
      </w:pPr>
    </w:p>
    <w:p w14:paraId="30546D39" w14:textId="77777777" w:rsidR="00747201" w:rsidRDefault="00FC772B">
      <w:pPr>
        <w:pStyle w:val="Default"/>
        <w:spacing w:line="276" w:lineRule="auto"/>
        <w:ind w:left="708"/>
        <w:jc w:val="both"/>
        <w:rPr>
          <w:b/>
          <w:color w:val="404040"/>
          <w:sz w:val="23"/>
          <w:szCs w:val="23"/>
        </w:rPr>
      </w:pPr>
      <w:r>
        <w:rPr>
          <w:b/>
          <w:color w:val="404040"/>
          <w:sz w:val="23"/>
          <w:szCs w:val="23"/>
        </w:rPr>
        <w:t>Priznavanje prihoda</w:t>
      </w:r>
    </w:p>
    <w:p w14:paraId="30546D3A" w14:textId="77777777" w:rsidR="00747201" w:rsidRDefault="00FC772B">
      <w:pPr>
        <w:pStyle w:val="Default"/>
        <w:spacing w:line="276" w:lineRule="auto"/>
        <w:ind w:left="708"/>
        <w:jc w:val="both"/>
        <w:rPr>
          <w:color w:val="404040"/>
          <w:sz w:val="23"/>
          <w:szCs w:val="23"/>
        </w:rPr>
      </w:pPr>
      <w:r>
        <w:rPr>
          <w:color w:val="404040"/>
          <w:sz w:val="23"/>
          <w:szCs w:val="23"/>
        </w:rPr>
        <w:t xml:space="preserve">Prihodi nastaju kao posljedica povećanja imovine ili smanjenja obveza. Priznaju se u </w:t>
      </w:r>
    </w:p>
    <w:p w14:paraId="30546D3B" w14:textId="77777777" w:rsidR="00747201" w:rsidRDefault="00FC772B">
      <w:pPr>
        <w:pStyle w:val="Default"/>
        <w:spacing w:line="276" w:lineRule="auto"/>
        <w:jc w:val="both"/>
        <w:rPr>
          <w:color w:val="404040"/>
          <w:sz w:val="23"/>
          <w:szCs w:val="23"/>
        </w:rPr>
      </w:pPr>
      <w:r>
        <w:rPr>
          <w:color w:val="404040"/>
          <w:sz w:val="23"/>
          <w:szCs w:val="23"/>
        </w:rPr>
        <w:t xml:space="preserve">skladu s HSFI 15. </w:t>
      </w:r>
      <w:proofErr w:type="spellStart"/>
      <w:r>
        <w:rPr>
          <w:color w:val="404040"/>
          <w:sz w:val="23"/>
          <w:szCs w:val="23"/>
          <w:lang w:val="en-US"/>
        </w:rPr>
        <w:t>Fokus</w:t>
      </w:r>
      <w:proofErr w:type="spellEnd"/>
      <w:r>
        <w:rPr>
          <w:color w:val="404040"/>
          <w:sz w:val="23"/>
          <w:szCs w:val="23"/>
          <w:lang w:val="en-US"/>
        </w:rPr>
        <w:t xml:space="preserve"> </w:t>
      </w:r>
      <w:proofErr w:type="spellStart"/>
      <w:r>
        <w:rPr>
          <w:color w:val="404040"/>
          <w:sz w:val="23"/>
          <w:szCs w:val="23"/>
          <w:lang w:val="en-US"/>
        </w:rPr>
        <w:t>ovog</w:t>
      </w:r>
      <w:proofErr w:type="spellEnd"/>
      <w:r>
        <w:rPr>
          <w:color w:val="404040"/>
          <w:sz w:val="23"/>
          <w:szCs w:val="23"/>
          <w:lang w:val="en-US"/>
        </w:rPr>
        <w:t xml:space="preserve"> </w:t>
      </w:r>
      <w:proofErr w:type="spellStart"/>
      <w:r>
        <w:rPr>
          <w:color w:val="404040"/>
          <w:sz w:val="23"/>
          <w:szCs w:val="23"/>
          <w:lang w:val="en-US"/>
        </w:rPr>
        <w:t>standarda</w:t>
      </w:r>
      <w:proofErr w:type="spellEnd"/>
      <w:r>
        <w:rPr>
          <w:color w:val="404040"/>
          <w:sz w:val="23"/>
          <w:szCs w:val="23"/>
          <w:lang w:val="en-US"/>
        </w:rPr>
        <w:t xml:space="preserve"> je </w:t>
      </w:r>
      <w:proofErr w:type="spellStart"/>
      <w:r>
        <w:rPr>
          <w:color w:val="404040"/>
          <w:sz w:val="23"/>
          <w:szCs w:val="23"/>
          <w:lang w:val="en-US"/>
        </w:rPr>
        <w:t>osigurati</w:t>
      </w:r>
      <w:proofErr w:type="spellEnd"/>
      <w:r>
        <w:rPr>
          <w:color w:val="404040"/>
          <w:sz w:val="23"/>
          <w:szCs w:val="23"/>
          <w:lang w:val="en-US"/>
        </w:rPr>
        <w:t xml:space="preserve"> da </w:t>
      </w:r>
      <w:proofErr w:type="spellStart"/>
      <w:r>
        <w:rPr>
          <w:color w:val="404040"/>
          <w:sz w:val="23"/>
          <w:szCs w:val="23"/>
          <w:lang w:val="en-US"/>
        </w:rPr>
        <w:t>prihodi</w:t>
      </w:r>
      <w:proofErr w:type="spellEnd"/>
      <w:r>
        <w:rPr>
          <w:color w:val="404040"/>
          <w:sz w:val="23"/>
          <w:szCs w:val="23"/>
          <w:lang w:val="en-US"/>
        </w:rPr>
        <w:t xml:space="preserve"> </w:t>
      </w:r>
      <w:proofErr w:type="spellStart"/>
      <w:r>
        <w:rPr>
          <w:color w:val="404040"/>
          <w:sz w:val="23"/>
          <w:szCs w:val="23"/>
          <w:lang w:val="en-US"/>
        </w:rPr>
        <w:t>budu</w:t>
      </w:r>
      <w:proofErr w:type="spellEnd"/>
      <w:r>
        <w:rPr>
          <w:color w:val="404040"/>
          <w:sz w:val="23"/>
          <w:szCs w:val="23"/>
          <w:lang w:val="en-US"/>
        </w:rPr>
        <w:t xml:space="preserve"> </w:t>
      </w:r>
      <w:proofErr w:type="spellStart"/>
      <w:r>
        <w:rPr>
          <w:color w:val="404040"/>
          <w:sz w:val="23"/>
          <w:szCs w:val="23"/>
          <w:lang w:val="en-US"/>
        </w:rPr>
        <w:t>priznati</w:t>
      </w:r>
      <w:proofErr w:type="spellEnd"/>
      <w:r>
        <w:rPr>
          <w:color w:val="404040"/>
          <w:sz w:val="23"/>
          <w:szCs w:val="23"/>
          <w:lang w:val="en-US"/>
        </w:rPr>
        <w:t xml:space="preserve"> </w:t>
      </w:r>
      <w:proofErr w:type="spellStart"/>
      <w:r>
        <w:rPr>
          <w:color w:val="404040"/>
          <w:sz w:val="23"/>
          <w:szCs w:val="23"/>
          <w:lang w:val="en-US"/>
        </w:rPr>
        <w:t>tako</w:t>
      </w:r>
      <w:proofErr w:type="spellEnd"/>
      <w:r>
        <w:rPr>
          <w:color w:val="404040"/>
          <w:sz w:val="23"/>
          <w:szCs w:val="23"/>
          <w:lang w:val="en-US"/>
        </w:rPr>
        <w:t xml:space="preserve"> da </w:t>
      </w:r>
      <w:proofErr w:type="spellStart"/>
      <w:r>
        <w:rPr>
          <w:color w:val="404040"/>
          <w:sz w:val="23"/>
          <w:szCs w:val="23"/>
          <w:lang w:val="en-US"/>
        </w:rPr>
        <w:t>prikazuje</w:t>
      </w:r>
      <w:proofErr w:type="spellEnd"/>
      <w:r>
        <w:rPr>
          <w:color w:val="404040"/>
          <w:sz w:val="23"/>
          <w:szCs w:val="23"/>
          <w:lang w:val="en-US"/>
        </w:rPr>
        <w:t xml:space="preserve"> </w:t>
      </w:r>
      <w:proofErr w:type="spellStart"/>
      <w:r>
        <w:rPr>
          <w:color w:val="404040"/>
          <w:sz w:val="23"/>
          <w:szCs w:val="23"/>
          <w:lang w:val="en-US"/>
        </w:rPr>
        <w:t>stvarnu</w:t>
      </w:r>
      <w:proofErr w:type="spellEnd"/>
      <w:r>
        <w:rPr>
          <w:color w:val="404040"/>
          <w:sz w:val="23"/>
          <w:szCs w:val="23"/>
          <w:lang w:val="en-US"/>
        </w:rPr>
        <w:t xml:space="preserve"> </w:t>
      </w:r>
      <w:proofErr w:type="spellStart"/>
      <w:r>
        <w:rPr>
          <w:color w:val="404040"/>
          <w:sz w:val="23"/>
          <w:szCs w:val="23"/>
          <w:lang w:val="en-US"/>
        </w:rPr>
        <w:t>izvedbu</w:t>
      </w:r>
      <w:proofErr w:type="spellEnd"/>
      <w:r>
        <w:rPr>
          <w:color w:val="404040"/>
          <w:sz w:val="23"/>
          <w:szCs w:val="23"/>
          <w:lang w:val="en-US"/>
        </w:rPr>
        <w:t xml:space="preserve"> </w:t>
      </w:r>
      <w:proofErr w:type="spellStart"/>
      <w:r>
        <w:rPr>
          <w:color w:val="404040"/>
          <w:sz w:val="23"/>
          <w:szCs w:val="23"/>
          <w:lang w:val="en-US"/>
        </w:rPr>
        <w:t>društva</w:t>
      </w:r>
      <w:proofErr w:type="spellEnd"/>
      <w:r>
        <w:rPr>
          <w:color w:val="404040"/>
          <w:sz w:val="23"/>
          <w:szCs w:val="23"/>
          <w:lang w:val="en-US"/>
        </w:rPr>
        <w:t xml:space="preserve"> u </w:t>
      </w:r>
      <w:proofErr w:type="spellStart"/>
      <w:r>
        <w:rPr>
          <w:color w:val="404040"/>
          <w:sz w:val="23"/>
          <w:szCs w:val="23"/>
          <w:lang w:val="en-US"/>
        </w:rPr>
        <w:t>ostvarivanju</w:t>
      </w:r>
      <w:proofErr w:type="spellEnd"/>
      <w:r>
        <w:rPr>
          <w:color w:val="404040"/>
          <w:sz w:val="23"/>
          <w:szCs w:val="23"/>
          <w:lang w:val="en-US"/>
        </w:rPr>
        <w:t xml:space="preserve"> </w:t>
      </w:r>
      <w:proofErr w:type="spellStart"/>
      <w:r>
        <w:rPr>
          <w:color w:val="404040"/>
          <w:sz w:val="23"/>
          <w:szCs w:val="23"/>
          <w:lang w:val="en-US"/>
        </w:rPr>
        <w:t>ekonomske</w:t>
      </w:r>
      <w:proofErr w:type="spellEnd"/>
      <w:r>
        <w:rPr>
          <w:color w:val="404040"/>
          <w:sz w:val="23"/>
          <w:szCs w:val="23"/>
          <w:lang w:val="en-US"/>
        </w:rPr>
        <w:t xml:space="preserve"> </w:t>
      </w:r>
      <w:proofErr w:type="spellStart"/>
      <w:r>
        <w:rPr>
          <w:color w:val="404040"/>
          <w:sz w:val="23"/>
          <w:szCs w:val="23"/>
          <w:lang w:val="en-US"/>
        </w:rPr>
        <w:t>koristi</w:t>
      </w:r>
      <w:proofErr w:type="spellEnd"/>
      <w:r>
        <w:rPr>
          <w:color w:val="404040"/>
          <w:sz w:val="23"/>
          <w:szCs w:val="23"/>
          <w:lang w:val="en-US"/>
        </w:rPr>
        <w:t xml:space="preserve"> </w:t>
      </w:r>
      <w:proofErr w:type="spellStart"/>
      <w:r>
        <w:rPr>
          <w:color w:val="404040"/>
          <w:sz w:val="23"/>
          <w:szCs w:val="23"/>
          <w:lang w:val="en-US"/>
        </w:rPr>
        <w:t>iz</w:t>
      </w:r>
      <w:proofErr w:type="spellEnd"/>
      <w:r>
        <w:rPr>
          <w:color w:val="404040"/>
          <w:sz w:val="23"/>
          <w:szCs w:val="23"/>
          <w:lang w:val="en-US"/>
        </w:rPr>
        <w:t xml:space="preserve"> </w:t>
      </w:r>
      <w:proofErr w:type="spellStart"/>
      <w:r>
        <w:rPr>
          <w:color w:val="404040"/>
          <w:sz w:val="23"/>
          <w:szCs w:val="23"/>
          <w:lang w:val="en-US"/>
        </w:rPr>
        <w:t>svojih</w:t>
      </w:r>
      <w:proofErr w:type="spellEnd"/>
      <w:r>
        <w:rPr>
          <w:color w:val="404040"/>
          <w:sz w:val="23"/>
          <w:szCs w:val="23"/>
          <w:lang w:val="en-US"/>
        </w:rPr>
        <w:t xml:space="preserve"> </w:t>
      </w:r>
      <w:proofErr w:type="spellStart"/>
      <w:r>
        <w:rPr>
          <w:color w:val="404040"/>
          <w:sz w:val="23"/>
          <w:szCs w:val="23"/>
          <w:lang w:val="en-US"/>
        </w:rPr>
        <w:t>poslovnih</w:t>
      </w:r>
      <w:proofErr w:type="spellEnd"/>
      <w:r>
        <w:rPr>
          <w:color w:val="404040"/>
          <w:sz w:val="23"/>
          <w:szCs w:val="23"/>
          <w:lang w:val="en-US"/>
        </w:rPr>
        <w:t xml:space="preserve"> </w:t>
      </w:r>
      <w:proofErr w:type="spellStart"/>
      <w:r>
        <w:rPr>
          <w:color w:val="404040"/>
          <w:sz w:val="23"/>
          <w:szCs w:val="23"/>
          <w:lang w:val="en-US"/>
        </w:rPr>
        <w:t>aktivnosti</w:t>
      </w:r>
      <w:proofErr w:type="spellEnd"/>
      <w:r>
        <w:rPr>
          <w:color w:val="404040"/>
          <w:sz w:val="23"/>
          <w:szCs w:val="23"/>
          <w:lang w:val="en-US"/>
        </w:rPr>
        <w:t>.</w:t>
      </w:r>
    </w:p>
    <w:p w14:paraId="30546D3C" w14:textId="77777777" w:rsidR="00747201" w:rsidRDefault="00747201">
      <w:pPr>
        <w:pStyle w:val="Default"/>
        <w:spacing w:line="276" w:lineRule="auto"/>
        <w:jc w:val="both"/>
        <w:rPr>
          <w:color w:val="404040"/>
          <w:sz w:val="23"/>
          <w:szCs w:val="23"/>
        </w:rPr>
      </w:pPr>
    </w:p>
    <w:p w14:paraId="30546D3D" w14:textId="77777777" w:rsidR="00747201" w:rsidRDefault="00FC772B">
      <w:pPr>
        <w:pStyle w:val="Default"/>
        <w:spacing w:line="276" w:lineRule="auto"/>
        <w:jc w:val="both"/>
        <w:rPr>
          <w:color w:val="404040"/>
          <w:sz w:val="23"/>
          <w:szCs w:val="23"/>
          <w:lang w:val="en-US"/>
        </w:rPr>
      </w:pPr>
      <w:r>
        <w:rPr>
          <w:color w:val="404040"/>
          <w:sz w:val="23"/>
          <w:szCs w:val="23"/>
          <w:lang w:val="en-US"/>
        </w:rPr>
        <w:lastRenderedPageBreak/>
        <w:tab/>
      </w:r>
      <w:proofErr w:type="spellStart"/>
      <w:r>
        <w:rPr>
          <w:color w:val="404040"/>
          <w:sz w:val="23"/>
          <w:szCs w:val="23"/>
          <w:lang w:val="en-US"/>
        </w:rPr>
        <w:t>Prihodi</w:t>
      </w:r>
      <w:proofErr w:type="spellEnd"/>
      <w:r>
        <w:rPr>
          <w:color w:val="404040"/>
          <w:sz w:val="23"/>
          <w:szCs w:val="23"/>
          <w:lang w:val="en-US"/>
        </w:rPr>
        <w:t xml:space="preserve"> se </w:t>
      </w:r>
      <w:proofErr w:type="spellStart"/>
      <w:r>
        <w:rPr>
          <w:color w:val="404040"/>
          <w:sz w:val="23"/>
          <w:szCs w:val="23"/>
          <w:lang w:val="en-US"/>
        </w:rPr>
        <w:t>sastoje</w:t>
      </w:r>
      <w:proofErr w:type="spellEnd"/>
      <w:r>
        <w:rPr>
          <w:color w:val="404040"/>
          <w:sz w:val="23"/>
          <w:szCs w:val="23"/>
          <w:lang w:val="en-US"/>
        </w:rPr>
        <w:t xml:space="preserve"> od fer </w:t>
      </w:r>
      <w:proofErr w:type="spellStart"/>
      <w:r>
        <w:rPr>
          <w:color w:val="404040"/>
          <w:sz w:val="23"/>
          <w:szCs w:val="23"/>
          <w:lang w:val="en-US"/>
        </w:rPr>
        <w:t>vrijednosti</w:t>
      </w:r>
      <w:proofErr w:type="spellEnd"/>
      <w:r>
        <w:rPr>
          <w:color w:val="404040"/>
          <w:sz w:val="23"/>
          <w:szCs w:val="23"/>
          <w:lang w:val="en-US"/>
        </w:rPr>
        <w:t xml:space="preserve"> </w:t>
      </w:r>
      <w:proofErr w:type="spellStart"/>
      <w:r>
        <w:rPr>
          <w:color w:val="404040"/>
          <w:sz w:val="23"/>
          <w:szCs w:val="23"/>
          <w:lang w:val="en-US"/>
        </w:rPr>
        <w:t>primljene</w:t>
      </w:r>
      <w:proofErr w:type="spellEnd"/>
      <w:r>
        <w:rPr>
          <w:color w:val="404040"/>
          <w:sz w:val="23"/>
          <w:szCs w:val="23"/>
          <w:lang w:val="en-US"/>
        </w:rPr>
        <w:t xml:space="preserve"> </w:t>
      </w:r>
      <w:proofErr w:type="spellStart"/>
      <w:r>
        <w:rPr>
          <w:color w:val="404040"/>
          <w:sz w:val="23"/>
          <w:szCs w:val="23"/>
          <w:lang w:val="en-US"/>
        </w:rPr>
        <w:t>naknade</w:t>
      </w:r>
      <w:proofErr w:type="spellEnd"/>
      <w:r>
        <w:rPr>
          <w:color w:val="404040"/>
          <w:sz w:val="23"/>
          <w:szCs w:val="23"/>
          <w:lang w:val="en-US"/>
        </w:rPr>
        <w:t xml:space="preserve"> </w:t>
      </w:r>
      <w:proofErr w:type="spellStart"/>
      <w:r>
        <w:rPr>
          <w:color w:val="404040"/>
          <w:sz w:val="23"/>
          <w:szCs w:val="23"/>
          <w:lang w:val="en-US"/>
        </w:rPr>
        <w:t>ili</w:t>
      </w:r>
      <w:proofErr w:type="spellEnd"/>
      <w:r>
        <w:rPr>
          <w:color w:val="404040"/>
          <w:sz w:val="23"/>
          <w:szCs w:val="23"/>
          <w:lang w:val="en-US"/>
        </w:rPr>
        <w:t xml:space="preserve"> </w:t>
      </w:r>
      <w:proofErr w:type="spellStart"/>
      <w:r>
        <w:rPr>
          <w:color w:val="404040"/>
          <w:sz w:val="23"/>
          <w:szCs w:val="23"/>
          <w:lang w:val="en-US"/>
        </w:rPr>
        <w:t>potraživanja</w:t>
      </w:r>
      <w:proofErr w:type="spellEnd"/>
      <w:r>
        <w:rPr>
          <w:color w:val="404040"/>
          <w:sz w:val="23"/>
          <w:szCs w:val="23"/>
          <w:lang w:val="en-US"/>
        </w:rPr>
        <w:t xml:space="preserve"> za </w:t>
      </w:r>
      <w:proofErr w:type="spellStart"/>
      <w:r>
        <w:rPr>
          <w:color w:val="404040"/>
          <w:sz w:val="23"/>
          <w:szCs w:val="23"/>
          <w:lang w:val="en-US"/>
        </w:rPr>
        <w:t>prodane</w:t>
      </w:r>
      <w:proofErr w:type="spellEnd"/>
      <w:r>
        <w:rPr>
          <w:color w:val="404040"/>
          <w:sz w:val="23"/>
          <w:szCs w:val="23"/>
          <w:lang w:val="en-US"/>
        </w:rPr>
        <w:t xml:space="preserve"> </w:t>
      </w:r>
      <w:proofErr w:type="spellStart"/>
      <w:r>
        <w:rPr>
          <w:color w:val="404040"/>
          <w:sz w:val="23"/>
          <w:szCs w:val="23"/>
          <w:lang w:val="en-US"/>
        </w:rPr>
        <w:t>proizvode</w:t>
      </w:r>
      <w:proofErr w:type="spellEnd"/>
      <w:r>
        <w:rPr>
          <w:color w:val="404040"/>
          <w:sz w:val="23"/>
          <w:szCs w:val="23"/>
          <w:lang w:val="en-US"/>
        </w:rPr>
        <w:t xml:space="preserve">, </w:t>
      </w:r>
      <w:proofErr w:type="spellStart"/>
      <w:r>
        <w:rPr>
          <w:color w:val="404040"/>
          <w:sz w:val="23"/>
          <w:szCs w:val="23"/>
          <w:lang w:val="en-US"/>
        </w:rPr>
        <w:t>robu</w:t>
      </w:r>
      <w:proofErr w:type="spellEnd"/>
      <w:r>
        <w:rPr>
          <w:color w:val="404040"/>
          <w:sz w:val="23"/>
          <w:szCs w:val="23"/>
          <w:lang w:val="en-US"/>
        </w:rPr>
        <w:t xml:space="preserve"> </w:t>
      </w:r>
      <w:proofErr w:type="spellStart"/>
      <w:r>
        <w:rPr>
          <w:color w:val="404040"/>
          <w:sz w:val="23"/>
          <w:szCs w:val="23"/>
          <w:lang w:val="en-US"/>
        </w:rPr>
        <w:t>ili</w:t>
      </w:r>
      <w:proofErr w:type="spellEnd"/>
      <w:r>
        <w:rPr>
          <w:color w:val="404040"/>
          <w:sz w:val="23"/>
          <w:szCs w:val="23"/>
          <w:lang w:val="en-US"/>
        </w:rPr>
        <w:t xml:space="preserve"> usluge </w:t>
      </w:r>
      <w:proofErr w:type="spellStart"/>
      <w:r>
        <w:rPr>
          <w:color w:val="404040"/>
          <w:sz w:val="23"/>
          <w:szCs w:val="23"/>
          <w:lang w:val="en-US"/>
        </w:rPr>
        <w:t>tijekom</w:t>
      </w:r>
      <w:proofErr w:type="spellEnd"/>
      <w:r>
        <w:rPr>
          <w:color w:val="404040"/>
          <w:sz w:val="23"/>
          <w:szCs w:val="23"/>
          <w:lang w:val="en-US"/>
        </w:rPr>
        <w:t xml:space="preserve"> </w:t>
      </w:r>
      <w:proofErr w:type="spellStart"/>
      <w:r>
        <w:rPr>
          <w:color w:val="404040"/>
          <w:sz w:val="23"/>
          <w:szCs w:val="23"/>
          <w:lang w:val="en-US"/>
        </w:rPr>
        <w:t>redovnog</w:t>
      </w:r>
      <w:proofErr w:type="spellEnd"/>
      <w:r>
        <w:rPr>
          <w:color w:val="404040"/>
          <w:sz w:val="23"/>
          <w:szCs w:val="23"/>
          <w:lang w:val="en-US"/>
        </w:rPr>
        <w:t xml:space="preserve"> </w:t>
      </w:r>
      <w:proofErr w:type="spellStart"/>
      <w:r>
        <w:rPr>
          <w:color w:val="404040"/>
          <w:sz w:val="23"/>
          <w:szCs w:val="23"/>
          <w:lang w:val="en-US"/>
        </w:rPr>
        <w:t>poslovanja</w:t>
      </w:r>
      <w:proofErr w:type="spellEnd"/>
      <w:r>
        <w:rPr>
          <w:color w:val="404040"/>
          <w:sz w:val="23"/>
          <w:szCs w:val="23"/>
          <w:lang w:val="en-US"/>
        </w:rPr>
        <w:t xml:space="preserve"> </w:t>
      </w:r>
      <w:proofErr w:type="spellStart"/>
      <w:r>
        <w:rPr>
          <w:color w:val="404040"/>
          <w:sz w:val="23"/>
          <w:szCs w:val="23"/>
          <w:lang w:val="en-US"/>
        </w:rPr>
        <w:t>Društva</w:t>
      </w:r>
      <w:proofErr w:type="spellEnd"/>
      <w:r>
        <w:rPr>
          <w:color w:val="404040"/>
          <w:sz w:val="23"/>
          <w:szCs w:val="23"/>
          <w:lang w:val="en-US"/>
        </w:rPr>
        <w:t xml:space="preserve">. </w:t>
      </w:r>
      <w:proofErr w:type="spellStart"/>
      <w:r>
        <w:rPr>
          <w:color w:val="404040"/>
          <w:sz w:val="23"/>
          <w:szCs w:val="23"/>
          <w:lang w:val="en-US"/>
        </w:rPr>
        <w:t>Prihodi</w:t>
      </w:r>
      <w:proofErr w:type="spellEnd"/>
      <w:r>
        <w:rPr>
          <w:color w:val="404040"/>
          <w:sz w:val="23"/>
          <w:szCs w:val="23"/>
          <w:lang w:val="en-US"/>
        </w:rPr>
        <w:t xml:space="preserve"> </w:t>
      </w:r>
      <w:proofErr w:type="spellStart"/>
      <w:r>
        <w:rPr>
          <w:color w:val="404040"/>
          <w:sz w:val="23"/>
          <w:szCs w:val="23"/>
          <w:lang w:val="en-US"/>
        </w:rPr>
        <w:t>su</w:t>
      </w:r>
      <w:proofErr w:type="spellEnd"/>
      <w:r>
        <w:rPr>
          <w:color w:val="404040"/>
          <w:sz w:val="23"/>
          <w:szCs w:val="23"/>
          <w:lang w:val="en-US"/>
        </w:rPr>
        <w:t xml:space="preserve"> </w:t>
      </w:r>
      <w:proofErr w:type="spellStart"/>
      <w:r>
        <w:rPr>
          <w:color w:val="404040"/>
          <w:sz w:val="23"/>
          <w:szCs w:val="23"/>
          <w:lang w:val="en-US"/>
        </w:rPr>
        <w:t>iskazani</w:t>
      </w:r>
      <w:proofErr w:type="spellEnd"/>
      <w:r>
        <w:rPr>
          <w:color w:val="404040"/>
          <w:sz w:val="23"/>
          <w:szCs w:val="23"/>
          <w:lang w:val="en-US"/>
        </w:rPr>
        <w:t xml:space="preserve"> u </w:t>
      </w:r>
      <w:proofErr w:type="spellStart"/>
      <w:r>
        <w:rPr>
          <w:color w:val="404040"/>
          <w:sz w:val="23"/>
          <w:szCs w:val="23"/>
          <w:lang w:val="en-US"/>
        </w:rPr>
        <w:t>iznosima</w:t>
      </w:r>
      <w:proofErr w:type="spellEnd"/>
      <w:r>
        <w:rPr>
          <w:color w:val="404040"/>
          <w:sz w:val="23"/>
          <w:szCs w:val="23"/>
          <w:lang w:val="en-US"/>
        </w:rPr>
        <w:t xml:space="preserve"> koji </w:t>
      </w:r>
      <w:proofErr w:type="spellStart"/>
      <w:r>
        <w:rPr>
          <w:color w:val="404040"/>
          <w:sz w:val="23"/>
          <w:szCs w:val="23"/>
          <w:lang w:val="en-US"/>
        </w:rPr>
        <w:t>su</w:t>
      </w:r>
      <w:proofErr w:type="spellEnd"/>
      <w:r>
        <w:rPr>
          <w:color w:val="404040"/>
          <w:sz w:val="23"/>
          <w:szCs w:val="23"/>
          <w:lang w:val="en-US"/>
        </w:rPr>
        <w:t xml:space="preserve"> </w:t>
      </w:r>
      <w:proofErr w:type="spellStart"/>
      <w:r>
        <w:rPr>
          <w:color w:val="404040"/>
          <w:sz w:val="23"/>
          <w:szCs w:val="23"/>
          <w:lang w:val="en-US"/>
        </w:rPr>
        <w:t>umanjeni</w:t>
      </w:r>
      <w:proofErr w:type="spellEnd"/>
      <w:r>
        <w:rPr>
          <w:color w:val="404040"/>
          <w:sz w:val="23"/>
          <w:szCs w:val="23"/>
          <w:lang w:val="en-US"/>
        </w:rPr>
        <w:t xml:space="preserve"> za </w:t>
      </w:r>
      <w:proofErr w:type="spellStart"/>
      <w:r>
        <w:rPr>
          <w:color w:val="404040"/>
          <w:sz w:val="23"/>
          <w:szCs w:val="23"/>
          <w:lang w:val="en-US"/>
        </w:rPr>
        <w:t>porez</w:t>
      </w:r>
      <w:proofErr w:type="spellEnd"/>
      <w:r>
        <w:rPr>
          <w:color w:val="404040"/>
          <w:sz w:val="23"/>
          <w:szCs w:val="23"/>
          <w:lang w:val="en-US"/>
        </w:rPr>
        <w:t xml:space="preserve"> </w:t>
      </w:r>
      <w:proofErr w:type="spellStart"/>
      <w:r>
        <w:rPr>
          <w:color w:val="404040"/>
          <w:sz w:val="23"/>
          <w:szCs w:val="23"/>
          <w:lang w:val="en-US"/>
        </w:rPr>
        <w:t>na</w:t>
      </w:r>
      <w:proofErr w:type="spellEnd"/>
      <w:r>
        <w:rPr>
          <w:color w:val="404040"/>
          <w:sz w:val="23"/>
          <w:szCs w:val="23"/>
          <w:lang w:val="en-US"/>
        </w:rPr>
        <w:t xml:space="preserve"> </w:t>
      </w:r>
      <w:proofErr w:type="spellStart"/>
      <w:r>
        <w:rPr>
          <w:color w:val="404040"/>
          <w:sz w:val="23"/>
          <w:szCs w:val="23"/>
          <w:lang w:val="en-US"/>
        </w:rPr>
        <w:t>dodanu</w:t>
      </w:r>
      <w:proofErr w:type="spellEnd"/>
      <w:r>
        <w:rPr>
          <w:color w:val="404040"/>
          <w:sz w:val="23"/>
          <w:szCs w:val="23"/>
          <w:lang w:val="en-US"/>
        </w:rPr>
        <w:t xml:space="preserve"> </w:t>
      </w:r>
      <w:proofErr w:type="spellStart"/>
      <w:r>
        <w:rPr>
          <w:color w:val="404040"/>
          <w:sz w:val="23"/>
          <w:szCs w:val="23"/>
          <w:lang w:val="en-US"/>
        </w:rPr>
        <w:t>vrijednost</w:t>
      </w:r>
      <w:proofErr w:type="spellEnd"/>
      <w:r>
        <w:rPr>
          <w:color w:val="404040"/>
          <w:sz w:val="23"/>
          <w:szCs w:val="23"/>
          <w:lang w:val="en-US"/>
        </w:rPr>
        <w:t xml:space="preserve">, </w:t>
      </w:r>
      <w:proofErr w:type="spellStart"/>
      <w:r>
        <w:rPr>
          <w:color w:val="404040"/>
          <w:sz w:val="23"/>
          <w:szCs w:val="23"/>
          <w:lang w:val="en-US"/>
        </w:rPr>
        <w:t>procijenjene</w:t>
      </w:r>
      <w:proofErr w:type="spellEnd"/>
      <w:r>
        <w:rPr>
          <w:color w:val="404040"/>
          <w:sz w:val="23"/>
          <w:szCs w:val="23"/>
          <w:lang w:val="en-US"/>
        </w:rPr>
        <w:t xml:space="preserve"> </w:t>
      </w:r>
      <w:proofErr w:type="spellStart"/>
      <w:r>
        <w:rPr>
          <w:color w:val="404040"/>
          <w:sz w:val="23"/>
          <w:szCs w:val="23"/>
          <w:lang w:val="en-US"/>
        </w:rPr>
        <w:t>povrate</w:t>
      </w:r>
      <w:proofErr w:type="spellEnd"/>
      <w:r>
        <w:rPr>
          <w:color w:val="404040"/>
          <w:sz w:val="23"/>
          <w:szCs w:val="23"/>
          <w:lang w:val="en-US"/>
        </w:rPr>
        <w:t xml:space="preserve">, </w:t>
      </w:r>
      <w:proofErr w:type="spellStart"/>
      <w:r>
        <w:rPr>
          <w:color w:val="404040"/>
          <w:sz w:val="23"/>
          <w:szCs w:val="23"/>
          <w:lang w:val="en-US"/>
        </w:rPr>
        <w:t>rabate</w:t>
      </w:r>
      <w:proofErr w:type="spellEnd"/>
      <w:r>
        <w:rPr>
          <w:color w:val="404040"/>
          <w:sz w:val="23"/>
          <w:szCs w:val="23"/>
          <w:lang w:val="en-US"/>
        </w:rPr>
        <w:t xml:space="preserve"> i </w:t>
      </w:r>
      <w:proofErr w:type="spellStart"/>
      <w:r>
        <w:rPr>
          <w:color w:val="404040"/>
          <w:sz w:val="23"/>
          <w:szCs w:val="23"/>
          <w:lang w:val="en-US"/>
        </w:rPr>
        <w:t>diskonte</w:t>
      </w:r>
      <w:proofErr w:type="spellEnd"/>
      <w:r>
        <w:rPr>
          <w:color w:val="404040"/>
          <w:sz w:val="23"/>
          <w:szCs w:val="23"/>
          <w:lang w:val="en-US"/>
        </w:rPr>
        <w:t>.</w:t>
      </w:r>
    </w:p>
    <w:p w14:paraId="30546D3E" w14:textId="77777777" w:rsidR="00747201" w:rsidRDefault="00FC772B">
      <w:pPr>
        <w:pStyle w:val="Default"/>
        <w:spacing w:line="276" w:lineRule="auto"/>
        <w:jc w:val="both"/>
        <w:rPr>
          <w:color w:val="404040"/>
          <w:sz w:val="23"/>
          <w:szCs w:val="23"/>
        </w:rPr>
      </w:pPr>
      <w:r>
        <w:rPr>
          <w:color w:val="404040"/>
          <w:sz w:val="23"/>
          <w:szCs w:val="23"/>
        </w:rPr>
        <w:tab/>
        <w:t>Društvo priznaje prihode kada se iznos prihoda može pouzdano mjeriti, kada će Društvo imati buduće ekonomske koristi i kada su zadovoljeni specifični kriteriji Društva koje su opisane u nastavku.</w:t>
      </w:r>
    </w:p>
    <w:p w14:paraId="30546D3F" w14:textId="77777777" w:rsidR="00747201" w:rsidRDefault="00747201">
      <w:pPr>
        <w:pStyle w:val="Default"/>
        <w:spacing w:line="276" w:lineRule="auto"/>
        <w:jc w:val="both"/>
        <w:rPr>
          <w:color w:val="404040"/>
          <w:sz w:val="23"/>
          <w:szCs w:val="23"/>
        </w:rPr>
      </w:pPr>
    </w:p>
    <w:p w14:paraId="30546D40" w14:textId="77777777" w:rsidR="00747201" w:rsidRDefault="00FC772B">
      <w:pPr>
        <w:pStyle w:val="Default"/>
        <w:spacing w:line="276" w:lineRule="auto"/>
        <w:ind w:left="708"/>
        <w:jc w:val="both"/>
        <w:rPr>
          <w:b/>
          <w:color w:val="404040"/>
          <w:sz w:val="23"/>
          <w:szCs w:val="23"/>
        </w:rPr>
      </w:pPr>
      <w:r>
        <w:rPr>
          <w:b/>
          <w:color w:val="404040"/>
          <w:sz w:val="23"/>
          <w:szCs w:val="23"/>
        </w:rPr>
        <w:t>Prihodi od prodaje robe</w:t>
      </w:r>
    </w:p>
    <w:p w14:paraId="30546D41" w14:textId="77777777" w:rsidR="00747201" w:rsidRDefault="00FC772B">
      <w:pPr>
        <w:pStyle w:val="Default"/>
        <w:spacing w:line="276" w:lineRule="auto"/>
        <w:jc w:val="both"/>
        <w:rPr>
          <w:color w:val="404040"/>
          <w:sz w:val="23"/>
          <w:szCs w:val="23"/>
        </w:rPr>
      </w:pPr>
      <w:r>
        <w:rPr>
          <w:color w:val="404040"/>
          <w:sz w:val="23"/>
          <w:szCs w:val="23"/>
        </w:rPr>
        <w:tab/>
        <w:t>Prihodi Društva se priznaju kada Društvo obavi isporuke kupcu, kada kupac ima slobodu određivanja prodajne cijene i kada ne postoji nijedna nepodmirena obveza koja bi mogla utjecati na prihvaćanje proizvoda od strane kupca. Isporuka je izvršena kad se proizvodi otpreme na određenu lokaciju, rizici gubitka prenesu na kupca i kad je utvrđeno jedno od navedenog: kupac prihvaća proizvode u skladu s ugovorom ili Društvo ima objektivne dokaze o tome da su svi kriteriji prihvaćanja zadovoljeni.</w:t>
      </w:r>
    </w:p>
    <w:p w14:paraId="30546D42" w14:textId="77777777" w:rsidR="00747201" w:rsidRDefault="00FC772B">
      <w:pPr>
        <w:pStyle w:val="Default"/>
        <w:spacing w:line="276" w:lineRule="auto"/>
        <w:jc w:val="both"/>
        <w:rPr>
          <w:color w:val="404040"/>
          <w:sz w:val="23"/>
          <w:szCs w:val="23"/>
        </w:rPr>
      </w:pPr>
      <w:r>
        <w:rPr>
          <w:color w:val="404040"/>
          <w:sz w:val="23"/>
          <w:szCs w:val="23"/>
        </w:rPr>
        <w:tab/>
        <w:t>Prihodi od prodaje iskazuju se na temelju cijene iz ugovora o prodaji, umanjeni za procijenjene količinske popuste i povrate. Prodaja ne sadržava elemente financiranja, jer je rok naplate potraživanja u rasponu od 15 do 60 dana, što je u skladu s tržišnom praksom.</w:t>
      </w:r>
    </w:p>
    <w:p w14:paraId="30546D43" w14:textId="77777777" w:rsidR="00747201" w:rsidRDefault="00747201">
      <w:pPr>
        <w:pStyle w:val="Default"/>
        <w:spacing w:line="276" w:lineRule="auto"/>
        <w:jc w:val="both"/>
        <w:rPr>
          <w:color w:val="404040"/>
          <w:sz w:val="23"/>
          <w:szCs w:val="23"/>
        </w:rPr>
      </w:pPr>
    </w:p>
    <w:p w14:paraId="30546D44" w14:textId="77777777" w:rsidR="00747201" w:rsidRDefault="00FC772B">
      <w:pPr>
        <w:pStyle w:val="Default"/>
        <w:spacing w:line="276" w:lineRule="auto"/>
        <w:ind w:left="708"/>
        <w:jc w:val="both"/>
        <w:rPr>
          <w:b/>
          <w:color w:val="404040"/>
          <w:sz w:val="23"/>
          <w:szCs w:val="23"/>
        </w:rPr>
      </w:pPr>
      <w:r>
        <w:rPr>
          <w:b/>
          <w:color w:val="404040"/>
          <w:sz w:val="23"/>
          <w:szCs w:val="23"/>
        </w:rPr>
        <w:t>Prihodi od usluga</w:t>
      </w:r>
    </w:p>
    <w:p w14:paraId="30546D45" w14:textId="77777777" w:rsidR="00747201" w:rsidRDefault="00FC772B">
      <w:pPr>
        <w:pStyle w:val="Default"/>
        <w:spacing w:line="276" w:lineRule="auto"/>
        <w:jc w:val="both"/>
        <w:rPr>
          <w:color w:val="404040"/>
          <w:sz w:val="23"/>
          <w:szCs w:val="23"/>
          <w:lang w:val="en-US"/>
        </w:rPr>
      </w:pPr>
      <w:r>
        <w:rPr>
          <w:color w:val="404040"/>
          <w:sz w:val="23"/>
          <w:szCs w:val="23"/>
        </w:rPr>
        <w:tab/>
        <w:t xml:space="preserve">Prihodi od izvršenih usluga određuju se temeljem sklopljenog ugovora s fiksnom cijenom uz ugovorene rokove do najduže godine dana te se priznaju u razdoblju u kojem su usluge obavljene prema pravocrtnoj metodi tijekom razdoblja trajanja ugovora. </w:t>
      </w:r>
      <w:proofErr w:type="spellStart"/>
      <w:r>
        <w:rPr>
          <w:color w:val="404040"/>
          <w:sz w:val="23"/>
          <w:szCs w:val="23"/>
          <w:lang w:val="en-US"/>
        </w:rPr>
        <w:t>Prihodi</w:t>
      </w:r>
      <w:proofErr w:type="spellEnd"/>
      <w:r>
        <w:rPr>
          <w:color w:val="404040"/>
          <w:sz w:val="23"/>
          <w:szCs w:val="23"/>
          <w:lang w:val="en-US"/>
        </w:rPr>
        <w:t xml:space="preserve"> se </w:t>
      </w:r>
      <w:proofErr w:type="spellStart"/>
      <w:r>
        <w:rPr>
          <w:color w:val="404040"/>
          <w:sz w:val="23"/>
          <w:szCs w:val="23"/>
          <w:lang w:val="en-US"/>
        </w:rPr>
        <w:t>priznaju</w:t>
      </w:r>
      <w:proofErr w:type="spellEnd"/>
      <w:r>
        <w:rPr>
          <w:color w:val="404040"/>
          <w:sz w:val="23"/>
          <w:szCs w:val="23"/>
          <w:lang w:val="en-US"/>
        </w:rPr>
        <w:t xml:space="preserve"> u </w:t>
      </w:r>
      <w:proofErr w:type="spellStart"/>
      <w:r>
        <w:rPr>
          <w:color w:val="404040"/>
          <w:sz w:val="23"/>
          <w:szCs w:val="23"/>
          <w:lang w:val="en-US"/>
        </w:rPr>
        <w:t>periodu</w:t>
      </w:r>
      <w:proofErr w:type="spellEnd"/>
      <w:r>
        <w:rPr>
          <w:color w:val="404040"/>
          <w:sz w:val="23"/>
          <w:szCs w:val="23"/>
          <w:lang w:val="en-US"/>
        </w:rPr>
        <w:t xml:space="preserve"> </w:t>
      </w:r>
      <w:proofErr w:type="spellStart"/>
      <w:r>
        <w:rPr>
          <w:color w:val="404040"/>
          <w:sz w:val="23"/>
          <w:szCs w:val="23"/>
          <w:lang w:val="en-US"/>
        </w:rPr>
        <w:t>kada</w:t>
      </w:r>
      <w:proofErr w:type="spellEnd"/>
      <w:r>
        <w:rPr>
          <w:color w:val="404040"/>
          <w:sz w:val="23"/>
          <w:szCs w:val="23"/>
          <w:lang w:val="en-US"/>
        </w:rPr>
        <w:t xml:space="preserve"> je </w:t>
      </w:r>
      <w:proofErr w:type="spellStart"/>
      <w:r>
        <w:rPr>
          <w:color w:val="404040"/>
          <w:sz w:val="23"/>
          <w:szCs w:val="23"/>
          <w:lang w:val="en-US"/>
        </w:rPr>
        <w:t>usluga</w:t>
      </w:r>
      <w:proofErr w:type="spellEnd"/>
      <w:r>
        <w:rPr>
          <w:color w:val="404040"/>
          <w:sz w:val="23"/>
          <w:szCs w:val="23"/>
          <w:lang w:val="en-US"/>
        </w:rPr>
        <w:t xml:space="preserve"> </w:t>
      </w:r>
      <w:proofErr w:type="spellStart"/>
      <w:r>
        <w:rPr>
          <w:color w:val="404040"/>
          <w:sz w:val="23"/>
          <w:szCs w:val="23"/>
          <w:lang w:val="en-US"/>
        </w:rPr>
        <w:t>pružena</w:t>
      </w:r>
      <w:proofErr w:type="spellEnd"/>
      <w:r>
        <w:rPr>
          <w:color w:val="404040"/>
          <w:sz w:val="23"/>
          <w:szCs w:val="23"/>
          <w:lang w:val="en-US"/>
        </w:rPr>
        <w:t>.</w:t>
      </w:r>
    </w:p>
    <w:p w14:paraId="30546D46" w14:textId="77777777" w:rsidR="00747201" w:rsidRDefault="00747201">
      <w:pPr>
        <w:pStyle w:val="Default"/>
        <w:spacing w:line="276" w:lineRule="auto"/>
        <w:jc w:val="both"/>
        <w:rPr>
          <w:color w:val="404040"/>
          <w:sz w:val="23"/>
          <w:szCs w:val="23"/>
        </w:rPr>
      </w:pPr>
    </w:p>
    <w:p w14:paraId="30546D47" w14:textId="77777777" w:rsidR="00747201" w:rsidRDefault="00FC772B">
      <w:pPr>
        <w:pStyle w:val="Default"/>
        <w:spacing w:line="276" w:lineRule="auto"/>
        <w:ind w:left="708"/>
        <w:jc w:val="both"/>
        <w:rPr>
          <w:b/>
          <w:color w:val="404040"/>
          <w:sz w:val="23"/>
          <w:szCs w:val="23"/>
        </w:rPr>
      </w:pPr>
      <w:r>
        <w:rPr>
          <w:b/>
          <w:color w:val="404040"/>
          <w:sz w:val="23"/>
          <w:szCs w:val="23"/>
        </w:rPr>
        <w:t>Prihodi od kamata</w:t>
      </w:r>
    </w:p>
    <w:p w14:paraId="30546D48" w14:textId="77777777" w:rsidR="00747201" w:rsidRDefault="00FC772B">
      <w:pPr>
        <w:pStyle w:val="Default"/>
        <w:spacing w:line="276" w:lineRule="auto"/>
        <w:jc w:val="both"/>
        <w:rPr>
          <w:color w:val="404040"/>
          <w:sz w:val="23"/>
          <w:szCs w:val="23"/>
        </w:rPr>
      </w:pPr>
      <w:r>
        <w:rPr>
          <w:color w:val="404040"/>
          <w:sz w:val="23"/>
          <w:szCs w:val="23"/>
        </w:rPr>
        <w:tab/>
        <w:t>Prihodi od kamata priznaju se na vremenski proporcionalnoj osnovi koristeći metodu efektivne kamatne stope. Prihodi od kamata od zajmova čija je naplata upitna, priznaju se koristeći metodu originalne efektivne kamatne stope.</w:t>
      </w:r>
    </w:p>
    <w:p w14:paraId="30546D49" w14:textId="77777777" w:rsidR="00747201" w:rsidRDefault="00747201">
      <w:pPr>
        <w:pStyle w:val="Default"/>
        <w:spacing w:line="276" w:lineRule="auto"/>
        <w:jc w:val="both"/>
        <w:rPr>
          <w:b/>
          <w:bCs/>
          <w:color w:val="404040"/>
          <w:sz w:val="23"/>
          <w:szCs w:val="23"/>
        </w:rPr>
      </w:pPr>
    </w:p>
    <w:p w14:paraId="30546D4A" w14:textId="77777777" w:rsidR="00747201" w:rsidRDefault="00FC772B">
      <w:pPr>
        <w:pStyle w:val="Default"/>
        <w:spacing w:line="276" w:lineRule="auto"/>
        <w:jc w:val="both"/>
        <w:rPr>
          <w:color w:val="404040"/>
          <w:sz w:val="23"/>
          <w:szCs w:val="23"/>
        </w:rPr>
      </w:pPr>
      <w:r>
        <w:rPr>
          <w:b/>
          <w:bCs/>
          <w:color w:val="404040"/>
          <w:sz w:val="23"/>
          <w:szCs w:val="23"/>
        </w:rPr>
        <w:tab/>
        <w:t>Rashodi</w:t>
      </w:r>
    </w:p>
    <w:p w14:paraId="30546D4B" w14:textId="77777777" w:rsidR="00747201" w:rsidRDefault="00FC772B">
      <w:pPr>
        <w:pStyle w:val="Default"/>
        <w:spacing w:line="276" w:lineRule="auto"/>
        <w:ind w:firstLine="708"/>
        <w:jc w:val="both"/>
        <w:rPr>
          <w:color w:val="404040"/>
          <w:sz w:val="23"/>
          <w:szCs w:val="23"/>
        </w:rPr>
      </w:pPr>
      <w:r>
        <w:rPr>
          <w:color w:val="404040"/>
          <w:sz w:val="23"/>
          <w:szCs w:val="23"/>
        </w:rPr>
        <w:t>Rashodi nastaju kao posljedica smanjenja imovine ili povećanja obveza. Sučeljavaju se s pripadajućim prihodima. Priznaju se u skladu s HSFI 16.</w:t>
      </w:r>
    </w:p>
    <w:p w14:paraId="30546D4C" w14:textId="77777777" w:rsidR="00747201" w:rsidRDefault="00747201">
      <w:pPr>
        <w:pStyle w:val="Default"/>
        <w:spacing w:line="276" w:lineRule="auto"/>
        <w:jc w:val="both"/>
        <w:rPr>
          <w:color w:val="404040"/>
          <w:sz w:val="23"/>
          <w:szCs w:val="23"/>
        </w:rPr>
      </w:pPr>
    </w:p>
    <w:p w14:paraId="30546D4D" w14:textId="77777777" w:rsidR="00747201" w:rsidRDefault="00FC772B">
      <w:pPr>
        <w:pStyle w:val="Default"/>
        <w:spacing w:line="276" w:lineRule="auto"/>
        <w:ind w:left="708"/>
        <w:jc w:val="both"/>
        <w:rPr>
          <w:b/>
          <w:color w:val="404040"/>
          <w:sz w:val="23"/>
          <w:szCs w:val="23"/>
        </w:rPr>
      </w:pPr>
      <w:r>
        <w:rPr>
          <w:b/>
          <w:color w:val="404040"/>
          <w:sz w:val="23"/>
          <w:szCs w:val="23"/>
        </w:rPr>
        <w:t>Porez na dobit</w:t>
      </w:r>
    </w:p>
    <w:p w14:paraId="30546D4E" w14:textId="77777777" w:rsidR="00747201" w:rsidRDefault="00FC772B">
      <w:pPr>
        <w:pStyle w:val="Default"/>
        <w:spacing w:line="276" w:lineRule="auto"/>
        <w:jc w:val="both"/>
        <w:rPr>
          <w:color w:val="404040"/>
          <w:sz w:val="23"/>
          <w:szCs w:val="23"/>
        </w:rPr>
      </w:pPr>
      <w:r>
        <w:rPr>
          <w:color w:val="404040"/>
          <w:sz w:val="23"/>
          <w:szCs w:val="23"/>
        </w:rPr>
        <w:tab/>
        <w:t>Društvo obračunava obvezu poreza na dobit u skladu s aktualnim hrvatskim zakonom.</w:t>
      </w:r>
    </w:p>
    <w:p w14:paraId="30546D4F" w14:textId="77777777" w:rsidR="00747201" w:rsidRDefault="00747201">
      <w:pPr>
        <w:pStyle w:val="Default"/>
        <w:spacing w:line="276" w:lineRule="auto"/>
        <w:jc w:val="both"/>
        <w:rPr>
          <w:color w:val="404040"/>
          <w:sz w:val="23"/>
          <w:szCs w:val="23"/>
        </w:rPr>
      </w:pPr>
    </w:p>
    <w:p w14:paraId="30546D50" w14:textId="77777777" w:rsidR="00747201" w:rsidRDefault="00FC772B">
      <w:pPr>
        <w:pStyle w:val="Default"/>
        <w:spacing w:line="276" w:lineRule="auto"/>
        <w:ind w:left="708"/>
        <w:jc w:val="both"/>
        <w:rPr>
          <w:b/>
          <w:color w:val="404040"/>
          <w:sz w:val="23"/>
          <w:szCs w:val="23"/>
        </w:rPr>
      </w:pPr>
      <w:r>
        <w:rPr>
          <w:b/>
          <w:color w:val="404040"/>
          <w:sz w:val="23"/>
          <w:szCs w:val="23"/>
        </w:rPr>
        <w:t>Nekretnine, postrojenja i oprema</w:t>
      </w:r>
    </w:p>
    <w:p w14:paraId="30546D51" w14:textId="77777777" w:rsidR="00747201" w:rsidRDefault="00FC772B">
      <w:pPr>
        <w:pStyle w:val="Default"/>
        <w:spacing w:line="276" w:lineRule="auto"/>
        <w:jc w:val="both"/>
        <w:rPr>
          <w:color w:val="404040"/>
          <w:sz w:val="23"/>
          <w:szCs w:val="23"/>
        </w:rPr>
      </w:pPr>
      <w:r>
        <w:rPr>
          <w:color w:val="404040"/>
          <w:sz w:val="23"/>
          <w:szCs w:val="23"/>
        </w:rPr>
        <w:tab/>
        <w:t>Nekretnine, postrojenja i oprema vrednuju se po trošku nabave umanjenom za ispravak vrijednosti (osim zemljišta). Trošak nabave se sastoji od nabavne cijene i svih troškova povezanih s dovođenjem sredstva u stanje spremno za uporabu. Priznaju se u skladu s HSFI 7.</w:t>
      </w:r>
    </w:p>
    <w:p w14:paraId="30546D52" w14:textId="77777777" w:rsidR="00747201" w:rsidRDefault="00747201">
      <w:pPr>
        <w:pStyle w:val="Default"/>
        <w:spacing w:line="276" w:lineRule="auto"/>
        <w:jc w:val="both"/>
        <w:rPr>
          <w:color w:val="404040"/>
          <w:sz w:val="23"/>
          <w:szCs w:val="23"/>
        </w:rPr>
      </w:pPr>
    </w:p>
    <w:p w14:paraId="30546D53" w14:textId="77777777" w:rsidR="00747201" w:rsidRDefault="00FC772B">
      <w:pPr>
        <w:pStyle w:val="Default"/>
        <w:spacing w:line="276" w:lineRule="auto"/>
        <w:jc w:val="both"/>
        <w:rPr>
          <w:b/>
          <w:bCs/>
          <w:color w:val="404040"/>
          <w:sz w:val="23"/>
          <w:szCs w:val="23"/>
        </w:rPr>
      </w:pPr>
      <w:r>
        <w:rPr>
          <w:color w:val="404040"/>
          <w:sz w:val="23"/>
          <w:szCs w:val="23"/>
        </w:rPr>
        <w:tab/>
      </w:r>
      <w:r>
        <w:rPr>
          <w:b/>
          <w:bCs/>
          <w:color w:val="404040"/>
          <w:sz w:val="23"/>
          <w:szCs w:val="23"/>
        </w:rPr>
        <w:t>Dugotrajna imovina</w:t>
      </w:r>
    </w:p>
    <w:p w14:paraId="30546D54" w14:textId="77777777" w:rsidR="00747201" w:rsidRDefault="00FC772B">
      <w:pPr>
        <w:pStyle w:val="Default"/>
        <w:spacing w:line="276" w:lineRule="auto"/>
        <w:jc w:val="both"/>
        <w:rPr>
          <w:color w:val="404040"/>
          <w:sz w:val="23"/>
          <w:szCs w:val="23"/>
        </w:rPr>
      </w:pPr>
      <w:r>
        <w:rPr>
          <w:color w:val="404040"/>
          <w:sz w:val="23"/>
          <w:szCs w:val="23"/>
        </w:rPr>
        <w:tab/>
        <w:t>Dugotrajna imovina dijeli se na materijalnu i nematerijalnu imovinu.</w:t>
      </w:r>
    </w:p>
    <w:p w14:paraId="30546D55" w14:textId="77777777" w:rsidR="00747201" w:rsidRDefault="00FC772B">
      <w:pPr>
        <w:pStyle w:val="Default"/>
        <w:spacing w:line="276" w:lineRule="auto"/>
        <w:ind w:firstLine="708"/>
        <w:jc w:val="both"/>
        <w:rPr>
          <w:color w:val="404040"/>
          <w:sz w:val="23"/>
          <w:szCs w:val="23"/>
        </w:rPr>
      </w:pPr>
      <w:r>
        <w:rPr>
          <w:color w:val="404040"/>
          <w:sz w:val="23"/>
          <w:szCs w:val="23"/>
        </w:rPr>
        <w:t>Dugotrajna nematerijalna i materijalna imovina obuhvaća opremu koju društvo koristi za potrebe djelatnosti. Procijenjeni korisni vijek upotrebe imovine je duži od godine dana.</w:t>
      </w:r>
    </w:p>
    <w:p w14:paraId="30546D56" w14:textId="77777777" w:rsidR="00747201" w:rsidRDefault="00FC772B">
      <w:pPr>
        <w:pStyle w:val="Default"/>
        <w:spacing w:line="276" w:lineRule="auto"/>
        <w:ind w:firstLine="708"/>
        <w:jc w:val="both"/>
        <w:rPr>
          <w:bCs/>
          <w:color w:val="404040"/>
          <w:sz w:val="23"/>
          <w:szCs w:val="23"/>
        </w:rPr>
      </w:pPr>
      <w:r>
        <w:rPr>
          <w:bCs/>
          <w:color w:val="404040"/>
          <w:sz w:val="23"/>
          <w:szCs w:val="23"/>
        </w:rPr>
        <w:lastRenderedPageBreak/>
        <w:t>Amortizacija dugotrajne materijalne i nematerijalne imovine obračunava se linearnom metodom uz korištenje porezno dopustivih stopa, prema članku 12. Zakona o porezu na dobit (NN 177/04 do 114/23). Prilikom obračunavanja amortizacije mogu se koristiti podvostručene stope amortizacije, što je moguće prema poreznim propisima.</w:t>
      </w:r>
    </w:p>
    <w:p w14:paraId="30546D57" w14:textId="77777777" w:rsidR="00747201" w:rsidRDefault="00747201">
      <w:pPr>
        <w:pStyle w:val="Default"/>
        <w:spacing w:line="276" w:lineRule="auto"/>
        <w:jc w:val="both"/>
        <w:rPr>
          <w:color w:val="404040"/>
          <w:sz w:val="23"/>
          <w:szCs w:val="23"/>
        </w:rPr>
      </w:pPr>
    </w:p>
    <w:p w14:paraId="30546D58" w14:textId="77777777" w:rsidR="00747201" w:rsidRDefault="00FC772B">
      <w:pPr>
        <w:pStyle w:val="Default"/>
        <w:spacing w:line="276" w:lineRule="auto"/>
        <w:jc w:val="both"/>
        <w:rPr>
          <w:color w:val="404040"/>
          <w:sz w:val="23"/>
          <w:szCs w:val="23"/>
        </w:rPr>
      </w:pPr>
      <w:r>
        <w:rPr>
          <w:color w:val="404040"/>
          <w:sz w:val="23"/>
          <w:szCs w:val="23"/>
        </w:rPr>
        <w:tab/>
      </w:r>
      <w:r>
        <w:rPr>
          <w:b/>
          <w:bCs/>
          <w:color w:val="404040"/>
          <w:sz w:val="23"/>
          <w:szCs w:val="23"/>
        </w:rPr>
        <w:t xml:space="preserve">Dugotrajna materijalna i nematerijalna </w:t>
      </w:r>
      <w:r>
        <w:rPr>
          <w:color w:val="404040"/>
          <w:sz w:val="23"/>
          <w:szCs w:val="23"/>
        </w:rPr>
        <w:t>imovina je ona imovina čiji trošak nabave je viši od 665,00 € i vijek trajanja duži od 1 godine. Imovina vrijednosti niže od 665,00 € otpisuje se u cijelosti prilikom stavljanja u uporabu (sitni inventar).</w:t>
      </w:r>
    </w:p>
    <w:p w14:paraId="30546D59" w14:textId="77777777" w:rsidR="00747201" w:rsidRDefault="00747201">
      <w:pPr>
        <w:pStyle w:val="Default"/>
        <w:spacing w:line="276" w:lineRule="auto"/>
        <w:jc w:val="both"/>
        <w:rPr>
          <w:color w:val="404040"/>
          <w:sz w:val="23"/>
          <w:szCs w:val="23"/>
        </w:rPr>
      </w:pPr>
    </w:p>
    <w:p w14:paraId="30546D5A" w14:textId="77777777" w:rsidR="00747201" w:rsidRDefault="00FC772B">
      <w:pPr>
        <w:pStyle w:val="Default"/>
        <w:spacing w:line="276" w:lineRule="auto"/>
        <w:jc w:val="both"/>
        <w:rPr>
          <w:color w:val="404040"/>
          <w:sz w:val="23"/>
          <w:szCs w:val="23"/>
          <w:lang w:val="en-US"/>
        </w:rPr>
      </w:pPr>
      <w:r>
        <w:rPr>
          <w:color w:val="404040"/>
          <w:sz w:val="23"/>
          <w:szCs w:val="23"/>
          <w:lang w:val="en-US"/>
        </w:rPr>
        <w:tab/>
      </w:r>
      <w:proofErr w:type="spellStart"/>
      <w:r>
        <w:rPr>
          <w:color w:val="404040"/>
          <w:sz w:val="23"/>
          <w:szCs w:val="23"/>
          <w:lang w:val="en-US"/>
        </w:rPr>
        <w:t>Dugotrajna</w:t>
      </w:r>
      <w:proofErr w:type="spellEnd"/>
      <w:r>
        <w:rPr>
          <w:color w:val="404040"/>
          <w:sz w:val="23"/>
          <w:szCs w:val="23"/>
          <w:lang w:val="en-US"/>
        </w:rPr>
        <w:t xml:space="preserve"> </w:t>
      </w:r>
      <w:proofErr w:type="spellStart"/>
      <w:r>
        <w:rPr>
          <w:b/>
          <w:bCs/>
          <w:color w:val="404040"/>
          <w:sz w:val="23"/>
          <w:szCs w:val="23"/>
          <w:lang w:val="en-US"/>
        </w:rPr>
        <w:t>materijalna</w:t>
      </w:r>
      <w:proofErr w:type="spellEnd"/>
      <w:r>
        <w:rPr>
          <w:color w:val="404040"/>
          <w:sz w:val="23"/>
          <w:szCs w:val="23"/>
          <w:lang w:val="en-US"/>
        </w:rPr>
        <w:t xml:space="preserve"> </w:t>
      </w:r>
      <w:proofErr w:type="spellStart"/>
      <w:r>
        <w:rPr>
          <w:color w:val="404040"/>
          <w:sz w:val="23"/>
          <w:szCs w:val="23"/>
          <w:lang w:val="en-US"/>
        </w:rPr>
        <w:t>imovina</w:t>
      </w:r>
      <w:proofErr w:type="spellEnd"/>
      <w:r>
        <w:rPr>
          <w:color w:val="404040"/>
          <w:sz w:val="23"/>
          <w:szCs w:val="23"/>
          <w:lang w:val="en-US"/>
        </w:rPr>
        <w:t xml:space="preserve"> (DMI), </w:t>
      </w:r>
      <w:proofErr w:type="spellStart"/>
      <w:r>
        <w:rPr>
          <w:color w:val="404040"/>
          <w:sz w:val="23"/>
          <w:szCs w:val="23"/>
          <w:lang w:val="en-US"/>
        </w:rPr>
        <w:t>uključujući</w:t>
      </w:r>
      <w:proofErr w:type="spellEnd"/>
      <w:r>
        <w:rPr>
          <w:color w:val="404040"/>
          <w:sz w:val="23"/>
          <w:szCs w:val="23"/>
          <w:lang w:val="en-US"/>
        </w:rPr>
        <w:t xml:space="preserve"> </w:t>
      </w:r>
      <w:proofErr w:type="spellStart"/>
      <w:r>
        <w:rPr>
          <w:color w:val="404040"/>
          <w:sz w:val="23"/>
          <w:szCs w:val="23"/>
          <w:lang w:val="en-US"/>
        </w:rPr>
        <w:t>nekretnine</w:t>
      </w:r>
      <w:proofErr w:type="spellEnd"/>
      <w:r>
        <w:rPr>
          <w:color w:val="404040"/>
          <w:sz w:val="23"/>
          <w:szCs w:val="23"/>
          <w:lang w:val="en-US"/>
        </w:rPr>
        <w:t xml:space="preserve">, </w:t>
      </w:r>
      <w:proofErr w:type="spellStart"/>
      <w:r>
        <w:rPr>
          <w:color w:val="404040"/>
          <w:sz w:val="23"/>
          <w:szCs w:val="23"/>
          <w:lang w:val="en-US"/>
        </w:rPr>
        <w:t>postrojenja</w:t>
      </w:r>
      <w:proofErr w:type="spellEnd"/>
      <w:r>
        <w:rPr>
          <w:color w:val="404040"/>
          <w:sz w:val="23"/>
          <w:szCs w:val="23"/>
          <w:lang w:val="en-US"/>
        </w:rPr>
        <w:t xml:space="preserve"> i </w:t>
      </w:r>
      <w:proofErr w:type="spellStart"/>
      <w:r>
        <w:rPr>
          <w:color w:val="404040"/>
          <w:sz w:val="23"/>
          <w:szCs w:val="23"/>
          <w:lang w:val="en-US"/>
        </w:rPr>
        <w:t>opremu</w:t>
      </w:r>
      <w:proofErr w:type="spellEnd"/>
      <w:r>
        <w:rPr>
          <w:color w:val="404040"/>
          <w:sz w:val="23"/>
          <w:szCs w:val="23"/>
          <w:lang w:val="en-US"/>
        </w:rPr>
        <w:t xml:space="preserve">, </w:t>
      </w:r>
      <w:proofErr w:type="spellStart"/>
      <w:r>
        <w:rPr>
          <w:color w:val="404040"/>
          <w:sz w:val="23"/>
          <w:szCs w:val="23"/>
          <w:lang w:val="en-US"/>
        </w:rPr>
        <w:t>priznaje</w:t>
      </w:r>
      <w:proofErr w:type="spellEnd"/>
      <w:r>
        <w:rPr>
          <w:color w:val="404040"/>
          <w:sz w:val="23"/>
          <w:szCs w:val="23"/>
          <w:lang w:val="en-US"/>
        </w:rPr>
        <w:t xml:space="preserve"> se i </w:t>
      </w:r>
      <w:proofErr w:type="spellStart"/>
      <w:r>
        <w:rPr>
          <w:color w:val="404040"/>
          <w:sz w:val="23"/>
          <w:szCs w:val="23"/>
          <w:lang w:val="en-US"/>
        </w:rPr>
        <w:t>mjeri</w:t>
      </w:r>
      <w:proofErr w:type="spellEnd"/>
      <w:r>
        <w:rPr>
          <w:color w:val="404040"/>
          <w:sz w:val="23"/>
          <w:szCs w:val="23"/>
          <w:lang w:val="en-US"/>
        </w:rPr>
        <w:t xml:space="preserve"> po </w:t>
      </w:r>
      <w:proofErr w:type="spellStart"/>
      <w:r>
        <w:rPr>
          <w:color w:val="404040"/>
          <w:sz w:val="23"/>
          <w:szCs w:val="23"/>
          <w:lang w:val="en-US"/>
        </w:rPr>
        <w:t>trošku</w:t>
      </w:r>
      <w:proofErr w:type="spellEnd"/>
      <w:r>
        <w:rPr>
          <w:color w:val="404040"/>
          <w:sz w:val="23"/>
          <w:szCs w:val="23"/>
          <w:lang w:val="en-US"/>
        </w:rPr>
        <w:t xml:space="preserve"> u </w:t>
      </w:r>
      <w:proofErr w:type="spellStart"/>
      <w:r>
        <w:rPr>
          <w:color w:val="404040"/>
          <w:sz w:val="23"/>
          <w:szCs w:val="23"/>
          <w:lang w:val="en-US"/>
        </w:rPr>
        <w:t>skladu</w:t>
      </w:r>
      <w:proofErr w:type="spellEnd"/>
      <w:r>
        <w:rPr>
          <w:color w:val="404040"/>
          <w:sz w:val="23"/>
          <w:szCs w:val="23"/>
          <w:lang w:val="en-US"/>
        </w:rPr>
        <w:t xml:space="preserve"> s HSFI 6. </w:t>
      </w:r>
      <w:proofErr w:type="spellStart"/>
      <w:r>
        <w:rPr>
          <w:color w:val="404040"/>
          <w:sz w:val="23"/>
          <w:szCs w:val="23"/>
          <w:lang w:val="en-US"/>
        </w:rPr>
        <w:t>Trošak</w:t>
      </w:r>
      <w:proofErr w:type="spellEnd"/>
      <w:r>
        <w:rPr>
          <w:color w:val="404040"/>
          <w:sz w:val="23"/>
          <w:szCs w:val="23"/>
          <w:lang w:val="en-US"/>
        </w:rPr>
        <w:t xml:space="preserve"> </w:t>
      </w:r>
      <w:proofErr w:type="spellStart"/>
      <w:r>
        <w:rPr>
          <w:color w:val="404040"/>
          <w:sz w:val="23"/>
          <w:szCs w:val="23"/>
          <w:lang w:val="en-US"/>
        </w:rPr>
        <w:t>obuhvaća</w:t>
      </w:r>
      <w:proofErr w:type="spellEnd"/>
      <w:r>
        <w:rPr>
          <w:color w:val="404040"/>
          <w:sz w:val="23"/>
          <w:szCs w:val="23"/>
          <w:lang w:val="en-US"/>
        </w:rPr>
        <w:t xml:space="preserve"> </w:t>
      </w:r>
      <w:proofErr w:type="spellStart"/>
      <w:r>
        <w:rPr>
          <w:color w:val="404040"/>
          <w:sz w:val="23"/>
          <w:szCs w:val="23"/>
          <w:lang w:val="en-US"/>
        </w:rPr>
        <w:t>nabavnu</w:t>
      </w:r>
      <w:proofErr w:type="spellEnd"/>
      <w:r>
        <w:rPr>
          <w:color w:val="404040"/>
          <w:sz w:val="23"/>
          <w:szCs w:val="23"/>
          <w:lang w:val="en-US"/>
        </w:rPr>
        <w:t xml:space="preserve"> </w:t>
      </w:r>
      <w:proofErr w:type="spellStart"/>
      <w:r>
        <w:rPr>
          <w:color w:val="404040"/>
          <w:sz w:val="23"/>
          <w:szCs w:val="23"/>
          <w:lang w:val="en-US"/>
        </w:rPr>
        <w:t>cijenu</w:t>
      </w:r>
      <w:proofErr w:type="spellEnd"/>
      <w:r>
        <w:rPr>
          <w:color w:val="404040"/>
          <w:sz w:val="23"/>
          <w:szCs w:val="23"/>
          <w:lang w:val="en-US"/>
        </w:rPr>
        <w:t xml:space="preserve">, </w:t>
      </w:r>
      <w:proofErr w:type="spellStart"/>
      <w:r>
        <w:rPr>
          <w:color w:val="404040"/>
          <w:sz w:val="23"/>
          <w:szCs w:val="23"/>
          <w:lang w:val="en-US"/>
        </w:rPr>
        <w:t>nepovratne</w:t>
      </w:r>
      <w:proofErr w:type="spellEnd"/>
      <w:r>
        <w:rPr>
          <w:color w:val="404040"/>
          <w:sz w:val="23"/>
          <w:szCs w:val="23"/>
          <w:lang w:val="en-US"/>
        </w:rPr>
        <w:t xml:space="preserve"> </w:t>
      </w:r>
      <w:proofErr w:type="spellStart"/>
      <w:r>
        <w:rPr>
          <w:color w:val="404040"/>
          <w:sz w:val="23"/>
          <w:szCs w:val="23"/>
          <w:lang w:val="en-US"/>
        </w:rPr>
        <w:t>poreze</w:t>
      </w:r>
      <w:proofErr w:type="spellEnd"/>
      <w:r>
        <w:rPr>
          <w:color w:val="404040"/>
          <w:sz w:val="23"/>
          <w:szCs w:val="23"/>
          <w:lang w:val="en-US"/>
        </w:rPr>
        <w:t xml:space="preserve">, </w:t>
      </w:r>
      <w:proofErr w:type="spellStart"/>
      <w:r>
        <w:rPr>
          <w:color w:val="404040"/>
          <w:sz w:val="23"/>
          <w:szCs w:val="23"/>
          <w:lang w:val="en-US"/>
        </w:rPr>
        <w:t>uvozne</w:t>
      </w:r>
      <w:proofErr w:type="spellEnd"/>
      <w:r>
        <w:rPr>
          <w:color w:val="404040"/>
          <w:sz w:val="23"/>
          <w:szCs w:val="23"/>
          <w:lang w:val="en-US"/>
        </w:rPr>
        <w:t xml:space="preserve"> </w:t>
      </w:r>
      <w:proofErr w:type="spellStart"/>
      <w:r>
        <w:rPr>
          <w:color w:val="404040"/>
          <w:sz w:val="23"/>
          <w:szCs w:val="23"/>
          <w:lang w:val="en-US"/>
        </w:rPr>
        <w:t>carine</w:t>
      </w:r>
      <w:proofErr w:type="spellEnd"/>
      <w:r>
        <w:rPr>
          <w:color w:val="404040"/>
          <w:sz w:val="23"/>
          <w:szCs w:val="23"/>
          <w:lang w:val="en-US"/>
        </w:rPr>
        <w:t xml:space="preserve"> i </w:t>
      </w:r>
      <w:proofErr w:type="spellStart"/>
      <w:r>
        <w:rPr>
          <w:color w:val="404040"/>
          <w:sz w:val="23"/>
          <w:szCs w:val="23"/>
          <w:lang w:val="en-US"/>
        </w:rPr>
        <w:t>troškove</w:t>
      </w:r>
      <w:proofErr w:type="spellEnd"/>
      <w:r>
        <w:rPr>
          <w:color w:val="404040"/>
          <w:sz w:val="23"/>
          <w:szCs w:val="23"/>
          <w:lang w:val="en-US"/>
        </w:rPr>
        <w:t xml:space="preserve"> koji </w:t>
      </w:r>
      <w:proofErr w:type="spellStart"/>
      <w:r>
        <w:rPr>
          <w:color w:val="404040"/>
          <w:sz w:val="23"/>
          <w:szCs w:val="23"/>
          <w:lang w:val="en-US"/>
        </w:rPr>
        <w:t>su</w:t>
      </w:r>
      <w:proofErr w:type="spellEnd"/>
      <w:r>
        <w:rPr>
          <w:color w:val="404040"/>
          <w:sz w:val="23"/>
          <w:szCs w:val="23"/>
          <w:lang w:val="en-US"/>
        </w:rPr>
        <w:t xml:space="preserve"> </w:t>
      </w:r>
      <w:proofErr w:type="spellStart"/>
      <w:r>
        <w:rPr>
          <w:color w:val="404040"/>
          <w:sz w:val="23"/>
          <w:szCs w:val="23"/>
          <w:lang w:val="en-US"/>
        </w:rPr>
        <w:t>izravno</w:t>
      </w:r>
      <w:proofErr w:type="spellEnd"/>
      <w:r>
        <w:rPr>
          <w:color w:val="404040"/>
          <w:sz w:val="23"/>
          <w:szCs w:val="23"/>
          <w:lang w:val="en-US"/>
        </w:rPr>
        <w:t xml:space="preserve"> </w:t>
      </w:r>
      <w:proofErr w:type="spellStart"/>
      <w:r>
        <w:rPr>
          <w:color w:val="404040"/>
          <w:sz w:val="23"/>
          <w:szCs w:val="23"/>
          <w:lang w:val="en-US"/>
        </w:rPr>
        <w:t>povezani</w:t>
      </w:r>
      <w:proofErr w:type="spellEnd"/>
      <w:r>
        <w:rPr>
          <w:color w:val="404040"/>
          <w:sz w:val="23"/>
          <w:szCs w:val="23"/>
          <w:lang w:val="en-US"/>
        </w:rPr>
        <w:t xml:space="preserve"> s </w:t>
      </w:r>
      <w:proofErr w:type="spellStart"/>
      <w:r>
        <w:rPr>
          <w:color w:val="404040"/>
          <w:sz w:val="23"/>
          <w:szCs w:val="23"/>
          <w:lang w:val="en-US"/>
        </w:rPr>
        <w:t>dovođenjem</w:t>
      </w:r>
      <w:proofErr w:type="spellEnd"/>
      <w:r>
        <w:rPr>
          <w:color w:val="404040"/>
          <w:sz w:val="23"/>
          <w:szCs w:val="23"/>
          <w:lang w:val="en-US"/>
        </w:rPr>
        <w:t xml:space="preserve"> </w:t>
      </w:r>
      <w:proofErr w:type="spellStart"/>
      <w:r>
        <w:rPr>
          <w:color w:val="404040"/>
          <w:sz w:val="23"/>
          <w:szCs w:val="23"/>
          <w:lang w:val="en-US"/>
        </w:rPr>
        <w:t>sredstva</w:t>
      </w:r>
      <w:proofErr w:type="spellEnd"/>
      <w:r>
        <w:rPr>
          <w:color w:val="404040"/>
          <w:sz w:val="23"/>
          <w:szCs w:val="23"/>
          <w:lang w:val="en-US"/>
        </w:rPr>
        <w:t xml:space="preserve"> </w:t>
      </w:r>
      <w:proofErr w:type="spellStart"/>
      <w:r>
        <w:rPr>
          <w:color w:val="404040"/>
          <w:sz w:val="23"/>
          <w:szCs w:val="23"/>
          <w:lang w:val="en-US"/>
        </w:rPr>
        <w:t>na</w:t>
      </w:r>
      <w:proofErr w:type="spellEnd"/>
      <w:r>
        <w:rPr>
          <w:color w:val="404040"/>
          <w:sz w:val="23"/>
          <w:szCs w:val="23"/>
          <w:lang w:val="en-US"/>
        </w:rPr>
        <w:t xml:space="preserve"> </w:t>
      </w:r>
      <w:proofErr w:type="spellStart"/>
      <w:r>
        <w:rPr>
          <w:color w:val="404040"/>
          <w:sz w:val="23"/>
          <w:szCs w:val="23"/>
          <w:lang w:val="en-US"/>
        </w:rPr>
        <w:t>mjesto</w:t>
      </w:r>
      <w:proofErr w:type="spellEnd"/>
      <w:r>
        <w:rPr>
          <w:color w:val="404040"/>
          <w:sz w:val="23"/>
          <w:szCs w:val="23"/>
          <w:lang w:val="en-US"/>
        </w:rPr>
        <w:t xml:space="preserve"> i u </w:t>
      </w:r>
      <w:proofErr w:type="spellStart"/>
      <w:r>
        <w:rPr>
          <w:color w:val="404040"/>
          <w:sz w:val="23"/>
          <w:szCs w:val="23"/>
          <w:lang w:val="en-US"/>
        </w:rPr>
        <w:t>radno</w:t>
      </w:r>
      <w:proofErr w:type="spellEnd"/>
      <w:r>
        <w:rPr>
          <w:color w:val="404040"/>
          <w:sz w:val="23"/>
          <w:szCs w:val="23"/>
          <w:lang w:val="en-US"/>
        </w:rPr>
        <w:t xml:space="preserve"> </w:t>
      </w:r>
      <w:proofErr w:type="spellStart"/>
      <w:r>
        <w:rPr>
          <w:color w:val="404040"/>
          <w:sz w:val="23"/>
          <w:szCs w:val="23"/>
          <w:lang w:val="en-US"/>
        </w:rPr>
        <w:t>stanje</w:t>
      </w:r>
      <w:proofErr w:type="spellEnd"/>
      <w:r>
        <w:rPr>
          <w:color w:val="404040"/>
          <w:sz w:val="23"/>
          <w:szCs w:val="23"/>
          <w:lang w:val="en-US"/>
        </w:rPr>
        <w:t xml:space="preserve"> za </w:t>
      </w:r>
      <w:proofErr w:type="spellStart"/>
      <w:r>
        <w:rPr>
          <w:color w:val="404040"/>
          <w:sz w:val="23"/>
          <w:szCs w:val="23"/>
          <w:lang w:val="en-US"/>
        </w:rPr>
        <w:t>namjeravanu</w:t>
      </w:r>
      <w:proofErr w:type="spellEnd"/>
      <w:r>
        <w:rPr>
          <w:color w:val="404040"/>
          <w:sz w:val="23"/>
          <w:szCs w:val="23"/>
          <w:lang w:val="en-US"/>
        </w:rPr>
        <w:t xml:space="preserve"> </w:t>
      </w:r>
      <w:proofErr w:type="spellStart"/>
      <w:r>
        <w:rPr>
          <w:color w:val="404040"/>
          <w:sz w:val="23"/>
          <w:szCs w:val="23"/>
          <w:lang w:val="en-US"/>
        </w:rPr>
        <w:t>uporabu</w:t>
      </w:r>
      <w:proofErr w:type="spellEnd"/>
      <w:r>
        <w:rPr>
          <w:color w:val="404040"/>
          <w:sz w:val="23"/>
          <w:szCs w:val="23"/>
          <w:lang w:val="en-US"/>
        </w:rPr>
        <w:t xml:space="preserve">, </w:t>
      </w:r>
      <w:proofErr w:type="spellStart"/>
      <w:r>
        <w:rPr>
          <w:color w:val="404040"/>
          <w:sz w:val="23"/>
          <w:szCs w:val="23"/>
          <w:lang w:val="en-US"/>
        </w:rPr>
        <w:t>umanjeno</w:t>
      </w:r>
      <w:proofErr w:type="spellEnd"/>
      <w:r>
        <w:rPr>
          <w:color w:val="404040"/>
          <w:sz w:val="23"/>
          <w:szCs w:val="23"/>
          <w:lang w:val="en-US"/>
        </w:rPr>
        <w:t xml:space="preserve"> za </w:t>
      </w:r>
      <w:proofErr w:type="spellStart"/>
      <w:r>
        <w:rPr>
          <w:color w:val="404040"/>
          <w:sz w:val="23"/>
          <w:szCs w:val="23"/>
          <w:lang w:val="en-US"/>
        </w:rPr>
        <w:t>odobrene</w:t>
      </w:r>
      <w:proofErr w:type="spellEnd"/>
      <w:r>
        <w:rPr>
          <w:color w:val="404040"/>
          <w:sz w:val="23"/>
          <w:szCs w:val="23"/>
          <w:lang w:val="en-US"/>
        </w:rPr>
        <w:t xml:space="preserve"> </w:t>
      </w:r>
      <w:proofErr w:type="spellStart"/>
      <w:r>
        <w:rPr>
          <w:color w:val="404040"/>
          <w:sz w:val="23"/>
          <w:szCs w:val="23"/>
          <w:lang w:val="en-US"/>
        </w:rPr>
        <w:t>popuste</w:t>
      </w:r>
      <w:proofErr w:type="spellEnd"/>
      <w:r>
        <w:rPr>
          <w:color w:val="404040"/>
          <w:sz w:val="23"/>
          <w:szCs w:val="23"/>
          <w:lang w:val="en-US"/>
        </w:rPr>
        <w:t xml:space="preserve">, a </w:t>
      </w:r>
      <w:proofErr w:type="spellStart"/>
      <w:r>
        <w:rPr>
          <w:color w:val="404040"/>
          <w:sz w:val="23"/>
          <w:szCs w:val="23"/>
          <w:lang w:val="en-US"/>
        </w:rPr>
        <w:t>uvećano</w:t>
      </w:r>
      <w:proofErr w:type="spellEnd"/>
      <w:r>
        <w:rPr>
          <w:color w:val="404040"/>
          <w:sz w:val="23"/>
          <w:szCs w:val="23"/>
          <w:lang w:val="en-US"/>
        </w:rPr>
        <w:t xml:space="preserve"> za </w:t>
      </w:r>
      <w:proofErr w:type="spellStart"/>
      <w:r>
        <w:rPr>
          <w:color w:val="404040"/>
          <w:sz w:val="23"/>
          <w:szCs w:val="23"/>
          <w:lang w:val="en-US"/>
        </w:rPr>
        <w:t>zavisne</w:t>
      </w:r>
      <w:proofErr w:type="spellEnd"/>
      <w:r>
        <w:rPr>
          <w:color w:val="404040"/>
          <w:sz w:val="23"/>
          <w:szCs w:val="23"/>
          <w:lang w:val="en-US"/>
        </w:rPr>
        <w:t xml:space="preserve"> </w:t>
      </w:r>
      <w:proofErr w:type="spellStart"/>
      <w:r>
        <w:rPr>
          <w:color w:val="404040"/>
          <w:sz w:val="23"/>
          <w:szCs w:val="23"/>
          <w:lang w:val="en-US"/>
        </w:rPr>
        <w:t>troškove</w:t>
      </w:r>
      <w:proofErr w:type="spellEnd"/>
      <w:r>
        <w:rPr>
          <w:color w:val="404040"/>
          <w:sz w:val="23"/>
          <w:szCs w:val="23"/>
          <w:lang w:val="en-US"/>
        </w:rPr>
        <w:t xml:space="preserve"> koji </w:t>
      </w:r>
      <w:proofErr w:type="spellStart"/>
      <w:r>
        <w:rPr>
          <w:color w:val="404040"/>
          <w:sz w:val="23"/>
          <w:szCs w:val="23"/>
          <w:lang w:val="en-US"/>
        </w:rPr>
        <w:t>nastaju</w:t>
      </w:r>
      <w:proofErr w:type="spellEnd"/>
      <w:r>
        <w:rPr>
          <w:color w:val="404040"/>
          <w:sz w:val="23"/>
          <w:szCs w:val="23"/>
          <w:lang w:val="en-US"/>
        </w:rPr>
        <w:t xml:space="preserve"> </w:t>
      </w:r>
      <w:proofErr w:type="spellStart"/>
      <w:r>
        <w:rPr>
          <w:color w:val="404040"/>
          <w:sz w:val="23"/>
          <w:szCs w:val="23"/>
          <w:lang w:val="en-US"/>
        </w:rPr>
        <w:t>prilikom</w:t>
      </w:r>
      <w:proofErr w:type="spellEnd"/>
      <w:r>
        <w:rPr>
          <w:color w:val="404040"/>
          <w:sz w:val="23"/>
          <w:szCs w:val="23"/>
          <w:lang w:val="en-US"/>
        </w:rPr>
        <w:t xml:space="preserve"> </w:t>
      </w:r>
      <w:proofErr w:type="spellStart"/>
      <w:r>
        <w:rPr>
          <w:color w:val="404040"/>
          <w:sz w:val="23"/>
          <w:szCs w:val="23"/>
          <w:lang w:val="en-US"/>
        </w:rPr>
        <w:t>stavljanja</w:t>
      </w:r>
      <w:proofErr w:type="spellEnd"/>
      <w:r>
        <w:rPr>
          <w:color w:val="404040"/>
          <w:sz w:val="23"/>
          <w:szCs w:val="23"/>
          <w:lang w:val="en-US"/>
        </w:rPr>
        <w:t xml:space="preserve"> </w:t>
      </w:r>
      <w:proofErr w:type="spellStart"/>
      <w:r>
        <w:rPr>
          <w:color w:val="404040"/>
          <w:sz w:val="23"/>
          <w:szCs w:val="23"/>
          <w:lang w:val="en-US"/>
        </w:rPr>
        <w:t>sredstva</w:t>
      </w:r>
      <w:proofErr w:type="spellEnd"/>
      <w:r>
        <w:rPr>
          <w:color w:val="404040"/>
          <w:sz w:val="23"/>
          <w:szCs w:val="23"/>
          <w:lang w:val="en-US"/>
        </w:rPr>
        <w:t xml:space="preserve"> u </w:t>
      </w:r>
      <w:proofErr w:type="spellStart"/>
      <w:r>
        <w:rPr>
          <w:color w:val="404040"/>
          <w:sz w:val="23"/>
          <w:szCs w:val="23"/>
          <w:lang w:val="en-US"/>
        </w:rPr>
        <w:t>uporabu</w:t>
      </w:r>
      <w:proofErr w:type="spellEnd"/>
      <w:r>
        <w:rPr>
          <w:color w:val="404040"/>
          <w:sz w:val="23"/>
          <w:szCs w:val="23"/>
          <w:lang w:val="en-US"/>
        </w:rPr>
        <w:t>.</w:t>
      </w:r>
    </w:p>
    <w:p w14:paraId="30546D5B" w14:textId="77777777" w:rsidR="00747201" w:rsidRDefault="00FC772B">
      <w:pPr>
        <w:pStyle w:val="Default"/>
        <w:jc w:val="both"/>
        <w:rPr>
          <w:color w:val="404040"/>
          <w:sz w:val="23"/>
          <w:szCs w:val="23"/>
          <w:lang w:val="en-US"/>
        </w:rPr>
      </w:pPr>
      <w:r>
        <w:rPr>
          <w:color w:val="404040"/>
          <w:sz w:val="23"/>
          <w:szCs w:val="23"/>
          <w:lang w:val="en-US"/>
        </w:rPr>
        <w:tab/>
      </w:r>
      <w:proofErr w:type="spellStart"/>
      <w:r>
        <w:rPr>
          <w:color w:val="404040"/>
          <w:sz w:val="23"/>
          <w:szCs w:val="23"/>
          <w:lang w:val="en-US"/>
        </w:rPr>
        <w:t>Dugotrajna</w:t>
      </w:r>
      <w:proofErr w:type="spellEnd"/>
      <w:r>
        <w:rPr>
          <w:color w:val="404040"/>
          <w:sz w:val="23"/>
          <w:szCs w:val="23"/>
          <w:lang w:val="en-US"/>
        </w:rPr>
        <w:t xml:space="preserve"> </w:t>
      </w:r>
      <w:proofErr w:type="spellStart"/>
      <w:r>
        <w:rPr>
          <w:b/>
          <w:bCs/>
          <w:color w:val="404040"/>
          <w:sz w:val="23"/>
          <w:szCs w:val="23"/>
          <w:lang w:val="en-US"/>
        </w:rPr>
        <w:t>nematerijalna</w:t>
      </w:r>
      <w:proofErr w:type="spellEnd"/>
      <w:r>
        <w:rPr>
          <w:color w:val="404040"/>
          <w:sz w:val="23"/>
          <w:szCs w:val="23"/>
          <w:lang w:val="en-US"/>
        </w:rPr>
        <w:t xml:space="preserve"> </w:t>
      </w:r>
      <w:proofErr w:type="spellStart"/>
      <w:r>
        <w:rPr>
          <w:color w:val="404040"/>
          <w:sz w:val="23"/>
          <w:szCs w:val="23"/>
          <w:lang w:val="en-US"/>
        </w:rPr>
        <w:t>imovina</w:t>
      </w:r>
      <w:proofErr w:type="spellEnd"/>
      <w:r>
        <w:rPr>
          <w:color w:val="404040"/>
          <w:sz w:val="23"/>
          <w:szCs w:val="23"/>
          <w:lang w:val="en-US"/>
        </w:rPr>
        <w:t xml:space="preserve"> </w:t>
      </w:r>
      <w:proofErr w:type="spellStart"/>
      <w:r>
        <w:rPr>
          <w:color w:val="404040"/>
          <w:sz w:val="23"/>
          <w:szCs w:val="23"/>
          <w:lang w:val="en-US"/>
        </w:rPr>
        <w:t>priznaje</w:t>
      </w:r>
      <w:proofErr w:type="spellEnd"/>
      <w:r>
        <w:rPr>
          <w:color w:val="404040"/>
          <w:sz w:val="23"/>
          <w:szCs w:val="23"/>
          <w:lang w:val="en-US"/>
        </w:rPr>
        <w:t xml:space="preserve"> se </w:t>
      </w:r>
      <w:proofErr w:type="spellStart"/>
      <w:r>
        <w:rPr>
          <w:color w:val="404040"/>
          <w:sz w:val="23"/>
          <w:szCs w:val="23"/>
          <w:lang w:val="en-US"/>
        </w:rPr>
        <w:t>ako</w:t>
      </w:r>
      <w:proofErr w:type="spellEnd"/>
      <w:r>
        <w:rPr>
          <w:color w:val="404040"/>
          <w:sz w:val="23"/>
          <w:szCs w:val="23"/>
          <w:lang w:val="en-US"/>
        </w:rPr>
        <w:t xml:space="preserve"> </w:t>
      </w:r>
      <w:proofErr w:type="spellStart"/>
      <w:r>
        <w:rPr>
          <w:color w:val="404040"/>
          <w:sz w:val="23"/>
          <w:szCs w:val="23"/>
          <w:lang w:val="en-US"/>
        </w:rPr>
        <w:t>ispunjava</w:t>
      </w:r>
      <w:proofErr w:type="spellEnd"/>
      <w:r>
        <w:rPr>
          <w:color w:val="404040"/>
          <w:sz w:val="23"/>
          <w:szCs w:val="23"/>
          <w:lang w:val="en-US"/>
        </w:rPr>
        <w:t xml:space="preserve"> </w:t>
      </w:r>
      <w:proofErr w:type="spellStart"/>
      <w:r>
        <w:rPr>
          <w:color w:val="404040"/>
          <w:sz w:val="23"/>
          <w:szCs w:val="23"/>
          <w:lang w:val="en-US"/>
        </w:rPr>
        <w:t>dva</w:t>
      </w:r>
      <w:proofErr w:type="spellEnd"/>
      <w:r>
        <w:rPr>
          <w:color w:val="404040"/>
          <w:sz w:val="23"/>
          <w:szCs w:val="23"/>
          <w:lang w:val="en-US"/>
        </w:rPr>
        <w:t xml:space="preserve"> </w:t>
      </w:r>
      <w:proofErr w:type="spellStart"/>
      <w:r>
        <w:rPr>
          <w:color w:val="404040"/>
          <w:sz w:val="23"/>
          <w:szCs w:val="23"/>
          <w:lang w:val="en-US"/>
        </w:rPr>
        <w:t>uvjeta</w:t>
      </w:r>
      <w:proofErr w:type="spellEnd"/>
      <w:r>
        <w:rPr>
          <w:color w:val="404040"/>
          <w:sz w:val="23"/>
          <w:szCs w:val="23"/>
          <w:lang w:val="en-US"/>
        </w:rPr>
        <w:t xml:space="preserve"> </w:t>
      </w:r>
      <w:proofErr w:type="spellStart"/>
      <w:r>
        <w:rPr>
          <w:color w:val="404040"/>
          <w:sz w:val="23"/>
          <w:szCs w:val="23"/>
          <w:lang w:val="en-US"/>
        </w:rPr>
        <w:t>koja</w:t>
      </w:r>
      <w:proofErr w:type="spellEnd"/>
      <w:r>
        <w:rPr>
          <w:color w:val="404040"/>
          <w:sz w:val="23"/>
          <w:szCs w:val="23"/>
          <w:lang w:val="en-US"/>
        </w:rPr>
        <w:t xml:space="preserve"> </w:t>
      </w:r>
      <w:proofErr w:type="spellStart"/>
      <w:r>
        <w:rPr>
          <w:color w:val="404040"/>
          <w:sz w:val="23"/>
          <w:szCs w:val="23"/>
          <w:lang w:val="en-US"/>
        </w:rPr>
        <w:t>podrazumijevaju</w:t>
      </w:r>
      <w:proofErr w:type="spellEnd"/>
      <w:r>
        <w:rPr>
          <w:color w:val="404040"/>
          <w:sz w:val="23"/>
          <w:szCs w:val="23"/>
          <w:lang w:val="en-US"/>
        </w:rPr>
        <w:t xml:space="preserve"> da se</w:t>
      </w:r>
      <w:r>
        <w:rPr>
          <w:color w:val="404040"/>
          <w:sz w:val="23"/>
          <w:szCs w:val="23"/>
        </w:rPr>
        <w:t xml:space="preserve"> očekuje buduća gospodarska korist od te imovine i da se trošak nabave može pouzdano izmjeriti, </w:t>
      </w:r>
      <w:proofErr w:type="gramStart"/>
      <w:r>
        <w:rPr>
          <w:color w:val="404040"/>
          <w:sz w:val="23"/>
          <w:szCs w:val="23"/>
        </w:rPr>
        <w:t>a</w:t>
      </w:r>
      <w:proofErr w:type="gramEnd"/>
      <w:r>
        <w:rPr>
          <w:color w:val="404040"/>
          <w:sz w:val="23"/>
          <w:szCs w:val="23"/>
        </w:rPr>
        <w:t xml:space="preserve"> </w:t>
      </w:r>
      <w:proofErr w:type="spellStart"/>
      <w:r>
        <w:rPr>
          <w:color w:val="404040"/>
          <w:sz w:val="23"/>
          <w:szCs w:val="23"/>
          <w:lang w:val="en-US"/>
        </w:rPr>
        <w:t>iskazuje</w:t>
      </w:r>
      <w:proofErr w:type="spellEnd"/>
      <w:r>
        <w:rPr>
          <w:color w:val="404040"/>
          <w:sz w:val="23"/>
          <w:szCs w:val="23"/>
          <w:lang w:val="en-US"/>
        </w:rPr>
        <w:t xml:space="preserve"> se </w:t>
      </w:r>
      <w:proofErr w:type="spellStart"/>
      <w:r>
        <w:rPr>
          <w:color w:val="404040"/>
          <w:sz w:val="23"/>
          <w:szCs w:val="23"/>
          <w:lang w:val="en-US"/>
        </w:rPr>
        <w:t>prema</w:t>
      </w:r>
      <w:proofErr w:type="spellEnd"/>
      <w:r>
        <w:rPr>
          <w:color w:val="404040"/>
          <w:sz w:val="23"/>
          <w:szCs w:val="23"/>
          <w:lang w:val="en-US"/>
        </w:rPr>
        <w:t xml:space="preserve"> </w:t>
      </w:r>
      <w:proofErr w:type="spellStart"/>
      <w:r>
        <w:rPr>
          <w:color w:val="404040"/>
          <w:sz w:val="23"/>
          <w:szCs w:val="23"/>
          <w:lang w:val="en-US"/>
        </w:rPr>
        <w:t>tročku</w:t>
      </w:r>
      <w:proofErr w:type="spellEnd"/>
      <w:r>
        <w:rPr>
          <w:color w:val="404040"/>
          <w:sz w:val="23"/>
          <w:szCs w:val="23"/>
          <w:lang w:val="en-US"/>
        </w:rPr>
        <w:t xml:space="preserve"> </w:t>
      </w:r>
      <w:proofErr w:type="spellStart"/>
      <w:r>
        <w:rPr>
          <w:color w:val="404040"/>
          <w:sz w:val="23"/>
          <w:szCs w:val="23"/>
          <w:lang w:val="en-US"/>
        </w:rPr>
        <w:t>nabave</w:t>
      </w:r>
      <w:proofErr w:type="spellEnd"/>
      <w:r>
        <w:rPr>
          <w:color w:val="404040"/>
          <w:sz w:val="23"/>
          <w:szCs w:val="23"/>
          <w:lang w:val="en-US"/>
        </w:rPr>
        <w:t xml:space="preserve"> u </w:t>
      </w:r>
      <w:proofErr w:type="spellStart"/>
      <w:r>
        <w:rPr>
          <w:color w:val="404040"/>
          <w:sz w:val="23"/>
          <w:szCs w:val="23"/>
          <w:lang w:val="en-US"/>
        </w:rPr>
        <w:t>skladu</w:t>
      </w:r>
      <w:proofErr w:type="spellEnd"/>
      <w:r>
        <w:rPr>
          <w:color w:val="404040"/>
          <w:sz w:val="23"/>
          <w:szCs w:val="23"/>
          <w:lang w:val="en-US"/>
        </w:rPr>
        <w:t xml:space="preserve"> </w:t>
      </w:r>
      <w:proofErr w:type="spellStart"/>
      <w:r>
        <w:rPr>
          <w:color w:val="404040"/>
          <w:sz w:val="23"/>
          <w:szCs w:val="23"/>
          <w:lang w:val="en-US"/>
        </w:rPr>
        <w:t>sa</w:t>
      </w:r>
      <w:proofErr w:type="spellEnd"/>
      <w:r>
        <w:rPr>
          <w:color w:val="404040"/>
          <w:sz w:val="23"/>
          <w:szCs w:val="23"/>
          <w:lang w:val="en-US"/>
        </w:rPr>
        <w:t xml:space="preserve"> HSFI 5. </w:t>
      </w:r>
      <w:proofErr w:type="spellStart"/>
      <w:r>
        <w:rPr>
          <w:color w:val="404040"/>
          <w:sz w:val="23"/>
          <w:szCs w:val="23"/>
          <w:lang w:val="en-US"/>
        </w:rPr>
        <w:t>Početno</w:t>
      </w:r>
      <w:proofErr w:type="spellEnd"/>
      <w:r>
        <w:rPr>
          <w:color w:val="404040"/>
          <w:sz w:val="23"/>
          <w:szCs w:val="23"/>
          <w:lang w:val="en-US"/>
        </w:rPr>
        <w:t xml:space="preserve"> se </w:t>
      </w:r>
      <w:proofErr w:type="spellStart"/>
      <w:r>
        <w:rPr>
          <w:color w:val="404040"/>
          <w:sz w:val="23"/>
          <w:szCs w:val="23"/>
          <w:lang w:val="en-US"/>
        </w:rPr>
        <w:t>mjeri</w:t>
      </w:r>
      <w:proofErr w:type="spellEnd"/>
      <w:r>
        <w:rPr>
          <w:color w:val="404040"/>
          <w:sz w:val="23"/>
          <w:szCs w:val="23"/>
          <w:lang w:val="en-US"/>
        </w:rPr>
        <w:t xml:space="preserve"> po </w:t>
      </w:r>
      <w:proofErr w:type="spellStart"/>
      <w:r>
        <w:rPr>
          <w:color w:val="404040"/>
          <w:sz w:val="23"/>
          <w:szCs w:val="23"/>
          <w:lang w:val="en-US"/>
        </w:rPr>
        <w:t>trošku</w:t>
      </w:r>
      <w:proofErr w:type="spellEnd"/>
      <w:r>
        <w:rPr>
          <w:color w:val="404040"/>
          <w:sz w:val="23"/>
          <w:szCs w:val="23"/>
          <w:lang w:val="en-US"/>
        </w:rPr>
        <w:t xml:space="preserve"> </w:t>
      </w:r>
      <w:proofErr w:type="spellStart"/>
      <w:r>
        <w:rPr>
          <w:color w:val="404040"/>
          <w:sz w:val="23"/>
          <w:szCs w:val="23"/>
          <w:lang w:val="en-US"/>
        </w:rPr>
        <w:t>nabave</w:t>
      </w:r>
      <w:proofErr w:type="spellEnd"/>
      <w:r>
        <w:rPr>
          <w:color w:val="404040"/>
          <w:sz w:val="23"/>
          <w:szCs w:val="23"/>
          <w:lang w:val="en-US"/>
        </w:rPr>
        <w:t xml:space="preserve">, koji </w:t>
      </w:r>
      <w:proofErr w:type="spellStart"/>
      <w:r>
        <w:rPr>
          <w:color w:val="404040"/>
          <w:sz w:val="23"/>
          <w:szCs w:val="23"/>
          <w:lang w:val="en-US"/>
        </w:rPr>
        <w:t>uključuje</w:t>
      </w:r>
      <w:proofErr w:type="spellEnd"/>
      <w:r>
        <w:rPr>
          <w:color w:val="404040"/>
          <w:sz w:val="23"/>
          <w:szCs w:val="23"/>
          <w:lang w:val="en-US"/>
        </w:rPr>
        <w:t xml:space="preserve"> </w:t>
      </w:r>
      <w:proofErr w:type="spellStart"/>
      <w:r>
        <w:rPr>
          <w:color w:val="404040"/>
          <w:sz w:val="23"/>
          <w:szCs w:val="23"/>
          <w:lang w:val="en-US"/>
        </w:rPr>
        <w:t>sve</w:t>
      </w:r>
      <w:proofErr w:type="spellEnd"/>
      <w:r>
        <w:rPr>
          <w:color w:val="404040"/>
          <w:sz w:val="23"/>
          <w:szCs w:val="23"/>
          <w:lang w:val="en-US"/>
        </w:rPr>
        <w:t xml:space="preserve"> </w:t>
      </w:r>
      <w:proofErr w:type="spellStart"/>
      <w:r>
        <w:rPr>
          <w:color w:val="404040"/>
          <w:sz w:val="23"/>
          <w:szCs w:val="23"/>
          <w:lang w:val="en-US"/>
        </w:rPr>
        <w:t>izdatke</w:t>
      </w:r>
      <w:proofErr w:type="spellEnd"/>
      <w:r>
        <w:rPr>
          <w:color w:val="404040"/>
          <w:sz w:val="23"/>
          <w:szCs w:val="23"/>
          <w:lang w:val="en-US"/>
        </w:rPr>
        <w:t xml:space="preserve"> </w:t>
      </w:r>
      <w:proofErr w:type="spellStart"/>
      <w:r>
        <w:rPr>
          <w:color w:val="404040"/>
          <w:sz w:val="23"/>
          <w:szCs w:val="23"/>
          <w:lang w:val="en-US"/>
        </w:rPr>
        <w:t>potrebne</w:t>
      </w:r>
      <w:proofErr w:type="spellEnd"/>
      <w:r>
        <w:rPr>
          <w:color w:val="404040"/>
          <w:sz w:val="23"/>
          <w:szCs w:val="23"/>
          <w:lang w:val="en-US"/>
        </w:rPr>
        <w:t xml:space="preserve"> za </w:t>
      </w:r>
      <w:proofErr w:type="spellStart"/>
      <w:r>
        <w:rPr>
          <w:color w:val="404040"/>
          <w:sz w:val="23"/>
          <w:szCs w:val="23"/>
          <w:lang w:val="en-US"/>
        </w:rPr>
        <w:t>stjecanje</w:t>
      </w:r>
      <w:proofErr w:type="spellEnd"/>
      <w:r>
        <w:rPr>
          <w:color w:val="404040"/>
          <w:sz w:val="23"/>
          <w:szCs w:val="23"/>
          <w:lang w:val="en-US"/>
        </w:rPr>
        <w:t xml:space="preserve"> i </w:t>
      </w:r>
      <w:proofErr w:type="spellStart"/>
      <w:r>
        <w:rPr>
          <w:color w:val="404040"/>
          <w:sz w:val="23"/>
          <w:szCs w:val="23"/>
          <w:lang w:val="en-US"/>
        </w:rPr>
        <w:t>pripremu</w:t>
      </w:r>
      <w:proofErr w:type="spellEnd"/>
      <w:r>
        <w:rPr>
          <w:color w:val="404040"/>
          <w:sz w:val="23"/>
          <w:szCs w:val="23"/>
          <w:lang w:val="en-US"/>
        </w:rPr>
        <w:t xml:space="preserve"> </w:t>
      </w:r>
      <w:proofErr w:type="spellStart"/>
      <w:r>
        <w:rPr>
          <w:color w:val="404040"/>
          <w:sz w:val="23"/>
          <w:szCs w:val="23"/>
          <w:lang w:val="en-US"/>
        </w:rPr>
        <w:t>imovine</w:t>
      </w:r>
      <w:proofErr w:type="spellEnd"/>
      <w:r>
        <w:rPr>
          <w:color w:val="404040"/>
          <w:sz w:val="23"/>
          <w:szCs w:val="23"/>
          <w:lang w:val="en-US"/>
        </w:rPr>
        <w:t xml:space="preserve"> za </w:t>
      </w:r>
      <w:proofErr w:type="spellStart"/>
      <w:r>
        <w:rPr>
          <w:color w:val="404040"/>
          <w:sz w:val="23"/>
          <w:szCs w:val="23"/>
          <w:lang w:val="en-US"/>
        </w:rPr>
        <w:t>upotrebu</w:t>
      </w:r>
      <w:proofErr w:type="spellEnd"/>
      <w:r>
        <w:rPr>
          <w:color w:val="404040"/>
          <w:sz w:val="23"/>
          <w:szCs w:val="23"/>
          <w:lang w:val="en-US"/>
        </w:rPr>
        <w:t>.</w:t>
      </w:r>
    </w:p>
    <w:p w14:paraId="30546D5C" w14:textId="77777777" w:rsidR="00747201" w:rsidRDefault="00747201">
      <w:pPr>
        <w:pStyle w:val="Default"/>
        <w:spacing w:line="276" w:lineRule="auto"/>
        <w:jc w:val="both"/>
        <w:rPr>
          <w:color w:val="404040"/>
          <w:sz w:val="23"/>
          <w:szCs w:val="23"/>
          <w:lang w:val="en-US"/>
        </w:rPr>
      </w:pPr>
    </w:p>
    <w:p w14:paraId="30546D5D" w14:textId="77777777" w:rsidR="00747201" w:rsidRDefault="00FC772B">
      <w:pPr>
        <w:pStyle w:val="Default"/>
        <w:spacing w:line="276" w:lineRule="auto"/>
        <w:jc w:val="both"/>
        <w:rPr>
          <w:b/>
          <w:bCs/>
          <w:color w:val="404040"/>
          <w:sz w:val="23"/>
          <w:szCs w:val="23"/>
          <w:lang w:val="en-US"/>
        </w:rPr>
      </w:pPr>
      <w:r>
        <w:rPr>
          <w:b/>
          <w:bCs/>
          <w:color w:val="404040"/>
          <w:sz w:val="23"/>
          <w:szCs w:val="23"/>
          <w:lang w:val="en-US"/>
        </w:rPr>
        <w:tab/>
      </w:r>
      <w:proofErr w:type="spellStart"/>
      <w:r>
        <w:rPr>
          <w:b/>
          <w:bCs/>
          <w:color w:val="404040"/>
          <w:sz w:val="23"/>
          <w:szCs w:val="23"/>
          <w:lang w:val="en-US"/>
        </w:rPr>
        <w:t>Amortizacija</w:t>
      </w:r>
      <w:proofErr w:type="spellEnd"/>
    </w:p>
    <w:p w14:paraId="30546D5E" w14:textId="77777777" w:rsidR="00747201" w:rsidRDefault="00FC772B">
      <w:pPr>
        <w:pStyle w:val="Default"/>
        <w:spacing w:line="276" w:lineRule="auto"/>
        <w:jc w:val="both"/>
        <w:rPr>
          <w:color w:val="404040"/>
          <w:sz w:val="23"/>
          <w:szCs w:val="23"/>
        </w:rPr>
      </w:pPr>
      <w:r>
        <w:rPr>
          <w:color w:val="404040"/>
          <w:sz w:val="23"/>
          <w:szCs w:val="23"/>
        </w:rPr>
        <w:tab/>
        <w:t xml:space="preserve">Obračun amortizacije </w:t>
      </w:r>
      <w:proofErr w:type="spellStart"/>
      <w:r>
        <w:rPr>
          <w:color w:val="404040"/>
          <w:sz w:val="23"/>
          <w:szCs w:val="23"/>
          <w:lang w:val="en-US"/>
        </w:rPr>
        <w:t>započinje</w:t>
      </w:r>
      <w:proofErr w:type="spellEnd"/>
      <w:r>
        <w:rPr>
          <w:color w:val="404040"/>
          <w:sz w:val="23"/>
          <w:szCs w:val="23"/>
          <w:lang w:val="en-US"/>
        </w:rPr>
        <w:t xml:space="preserve"> </w:t>
      </w:r>
      <w:proofErr w:type="spellStart"/>
      <w:r>
        <w:rPr>
          <w:color w:val="404040"/>
          <w:sz w:val="23"/>
          <w:szCs w:val="23"/>
          <w:lang w:val="en-US"/>
        </w:rPr>
        <w:t>kada</w:t>
      </w:r>
      <w:proofErr w:type="spellEnd"/>
      <w:r>
        <w:rPr>
          <w:color w:val="404040"/>
          <w:sz w:val="23"/>
          <w:szCs w:val="23"/>
          <w:lang w:val="en-US"/>
        </w:rPr>
        <w:t xml:space="preserve"> je </w:t>
      </w:r>
      <w:proofErr w:type="spellStart"/>
      <w:r>
        <w:rPr>
          <w:color w:val="404040"/>
          <w:sz w:val="23"/>
          <w:szCs w:val="23"/>
          <w:lang w:val="en-US"/>
        </w:rPr>
        <w:t>imovina</w:t>
      </w:r>
      <w:proofErr w:type="spellEnd"/>
      <w:r>
        <w:rPr>
          <w:color w:val="404040"/>
          <w:sz w:val="23"/>
          <w:szCs w:val="23"/>
          <w:lang w:val="en-US"/>
        </w:rPr>
        <w:t xml:space="preserve"> </w:t>
      </w:r>
      <w:proofErr w:type="spellStart"/>
      <w:r>
        <w:rPr>
          <w:color w:val="404040"/>
          <w:sz w:val="23"/>
          <w:szCs w:val="23"/>
          <w:lang w:val="en-US"/>
        </w:rPr>
        <w:t>spremna</w:t>
      </w:r>
      <w:proofErr w:type="spellEnd"/>
      <w:r>
        <w:rPr>
          <w:color w:val="404040"/>
          <w:sz w:val="23"/>
          <w:szCs w:val="23"/>
          <w:lang w:val="en-US"/>
        </w:rPr>
        <w:t xml:space="preserve"> i</w:t>
      </w:r>
      <w:r>
        <w:rPr>
          <w:color w:val="404040"/>
          <w:sz w:val="23"/>
          <w:szCs w:val="23"/>
        </w:rPr>
        <w:t xml:space="preserve"> prilikom stavljanja u uporabu. Imovina u izgradnji i zemljišta se ne amortiziraju. Amortizacija se prikazuje u računu dobiti i gubitka korištenjem linearne metode otpisa tijekom procijenjenog vijeka trajanja </w:t>
      </w:r>
      <w:r>
        <w:rPr>
          <w:color w:val="404040"/>
          <w:sz w:val="23"/>
          <w:szCs w:val="23"/>
          <w:lang w:val="en-US"/>
        </w:rPr>
        <w:t>(</w:t>
      </w:r>
      <w:proofErr w:type="spellStart"/>
      <w:r>
        <w:rPr>
          <w:color w:val="404040"/>
          <w:sz w:val="23"/>
          <w:szCs w:val="23"/>
          <w:lang w:val="en-US"/>
        </w:rPr>
        <w:t>ravnomjerno</w:t>
      </w:r>
      <w:proofErr w:type="spellEnd"/>
      <w:r>
        <w:rPr>
          <w:color w:val="404040"/>
          <w:sz w:val="23"/>
          <w:szCs w:val="23"/>
          <w:lang w:val="en-US"/>
        </w:rPr>
        <w:t xml:space="preserve"> </w:t>
      </w:r>
      <w:proofErr w:type="spellStart"/>
      <w:r>
        <w:rPr>
          <w:color w:val="404040"/>
          <w:sz w:val="23"/>
          <w:szCs w:val="23"/>
          <w:lang w:val="en-US"/>
        </w:rPr>
        <w:t>raspoređujući</w:t>
      </w:r>
      <w:proofErr w:type="spellEnd"/>
      <w:r>
        <w:rPr>
          <w:color w:val="404040"/>
          <w:sz w:val="23"/>
          <w:szCs w:val="23"/>
          <w:lang w:val="en-US"/>
        </w:rPr>
        <w:t xml:space="preserve"> </w:t>
      </w:r>
      <w:proofErr w:type="spellStart"/>
      <w:r>
        <w:rPr>
          <w:color w:val="404040"/>
          <w:sz w:val="23"/>
          <w:szCs w:val="23"/>
          <w:lang w:val="en-US"/>
        </w:rPr>
        <w:t>trošak</w:t>
      </w:r>
      <w:proofErr w:type="spellEnd"/>
      <w:r>
        <w:rPr>
          <w:color w:val="404040"/>
          <w:sz w:val="23"/>
          <w:szCs w:val="23"/>
          <w:lang w:val="en-US"/>
        </w:rPr>
        <w:t xml:space="preserve"> </w:t>
      </w:r>
      <w:proofErr w:type="spellStart"/>
      <w:r>
        <w:rPr>
          <w:color w:val="404040"/>
          <w:sz w:val="23"/>
          <w:szCs w:val="23"/>
          <w:lang w:val="en-US"/>
        </w:rPr>
        <w:t>tijekom</w:t>
      </w:r>
      <w:proofErr w:type="spellEnd"/>
      <w:r>
        <w:rPr>
          <w:color w:val="404040"/>
          <w:sz w:val="23"/>
          <w:szCs w:val="23"/>
          <w:lang w:val="en-US"/>
        </w:rPr>
        <w:t xml:space="preserve"> </w:t>
      </w:r>
      <w:proofErr w:type="spellStart"/>
      <w:r>
        <w:rPr>
          <w:color w:val="404040"/>
          <w:sz w:val="23"/>
          <w:szCs w:val="23"/>
          <w:lang w:val="en-US"/>
        </w:rPr>
        <w:t>korisnog</w:t>
      </w:r>
      <w:proofErr w:type="spellEnd"/>
      <w:r>
        <w:rPr>
          <w:color w:val="404040"/>
          <w:sz w:val="23"/>
          <w:szCs w:val="23"/>
          <w:lang w:val="en-US"/>
        </w:rPr>
        <w:t xml:space="preserve"> </w:t>
      </w:r>
      <w:proofErr w:type="spellStart"/>
      <w:r>
        <w:rPr>
          <w:color w:val="404040"/>
          <w:sz w:val="23"/>
          <w:szCs w:val="23"/>
          <w:lang w:val="en-US"/>
        </w:rPr>
        <w:t>vijeka</w:t>
      </w:r>
      <w:proofErr w:type="spellEnd"/>
      <w:r>
        <w:rPr>
          <w:color w:val="404040"/>
          <w:sz w:val="23"/>
          <w:szCs w:val="23"/>
          <w:lang w:val="en-US"/>
        </w:rPr>
        <w:t xml:space="preserve"> </w:t>
      </w:r>
      <w:proofErr w:type="spellStart"/>
      <w:r>
        <w:rPr>
          <w:color w:val="404040"/>
          <w:sz w:val="23"/>
          <w:szCs w:val="23"/>
          <w:lang w:val="en-US"/>
        </w:rPr>
        <w:t>uporabe</w:t>
      </w:r>
      <w:proofErr w:type="spellEnd"/>
      <w:r>
        <w:rPr>
          <w:color w:val="404040"/>
          <w:sz w:val="23"/>
          <w:szCs w:val="23"/>
          <w:lang w:val="en-US"/>
        </w:rPr>
        <w:t>)</w:t>
      </w:r>
      <w:r>
        <w:rPr>
          <w:color w:val="404040"/>
          <w:sz w:val="23"/>
          <w:szCs w:val="23"/>
        </w:rPr>
        <w:t>.</w:t>
      </w:r>
    </w:p>
    <w:p w14:paraId="30546D5F" w14:textId="77777777" w:rsidR="00747201" w:rsidRDefault="00747201">
      <w:pPr>
        <w:pStyle w:val="Default"/>
        <w:spacing w:line="276" w:lineRule="auto"/>
        <w:jc w:val="both"/>
        <w:rPr>
          <w:color w:val="404040"/>
          <w:sz w:val="23"/>
          <w:szCs w:val="23"/>
        </w:rPr>
      </w:pPr>
    </w:p>
    <w:p w14:paraId="30546D60" w14:textId="77777777" w:rsidR="00747201" w:rsidRDefault="00FC772B">
      <w:pPr>
        <w:pStyle w:val="Default"/>
        <w:spacing w:line="276" w:lineRule="auto"/>
        <w:ind w:left="708"/>
        <w:jc w:val="both"/>
        <w:rPr>
          <w:b/>
          <w:color w:val="404040"/>
          <w:sz w:val="23"/>
          <w:szCs w:val="23"/>
        </w:rPr>
      </w:pPr>
      <w:r>
        <w:rPr>
          <w:b/>
          <w:color w:val="404040"/>
          <w:sz w:val="23"/>
          <w:szCs w:val="23"/>
        </w:rPr>
        <w:t>Zalihe</w:t>
      </w:r>
    </w:p>
    <w:p w14:paraId="30546D61" w14:textId="77777777" w:rsidR="00747201" w:rsidRDefault="00FC772B">
      <w:pPr>
        <w:pStyle w:val="Default"/>
        <w:spacing w:line="276" w:lineRule="auto"/>
        <w:jc w:val="both"/>
        <w:rPr>
          <w:color w:val="404040"/>
          <w:sz w:val="23"/>
          <w:szCs w:val="23"/>
          <w:lang w:val="en-US"/>
        </w:rPr>
      </w:pPr>
      <w:r>
        <w:rPr>
          <w:color w:val="404040"/>
          <w:sz w:val="23"/>
          <w:szCs w:val="23"/>
        </w:rPr>
        <w:tab/>
      </w:r>
      <w:proofErr w:type="spellStart"/>
      <w:r>
        <w:rPr>
          <w:color w:val="404040"/>
          <w:sz w:val="23"/>
          <w:szCs w:val="23"/>
          <w:lang w:val="en-US"/>
        </w:rPr>
        <w:t>Zalihe</w:t>
      </w:r>
      <w:proofErr w:type="spellEnd"/>
      <w:r>
        <w:rPr>
          <w:color w:val="404040"/>
          <w:sz w:val="23"/>
          <w:szCs w:val="23"/>
          <w:lang w:val="en-US"/>
        </w:rPr>
        <w:t xml:space="preserve"> se </w:t>
      </w:r>
      <w:proofErr w:type="spellStart"/>
      <w:r>
        <w:rPr>
          <w:color w:val="404040"/>
          <w:sz w:val="23"/>
          <w:szCs w:val="23"/>
          <w:lang w:val="en-US"/>
        </w:rPr>
        <w:t>iskazuju</w:t>
      </w:r>
      <w:proofErr w:type="spellEnd"/>
      <w:r>
        <w:rPr>
          <w:color w:val="404040"/>
          <w:sz w:val="23"/>
          <w:szCs w:val="23"/>
          <w:lang w:val="en-US"/>
        </w:rPr>
        <w:t xml:space="preserve"> po </w:t>
      </w:r>
      <w:proofErr w:type="spellStart"/>
      <w:r>
        <w:rPr>
          <w:color w:val="404040"/>
          <w:sz w:val="23"/>
          <w:szCs w:val="23"/>
          <w:lang w:val="en-US"/>
        </w:rPr>
        <w:t>trošku</w:t>
      </w:r>
      <w:proofErr w:type="spellEnd"/>
      <w:r>
        <w:rPr>
          <w:color w:val="404040"/>
          <w:sz w:val="23"/>
          <w:szCs w:val="23"/>
          <w:lang w:val="en-US"/>
        </w:rPr>
        <w:t xml:space="preserve"> </w:t>
      </w:r>
      <w:proofErr w:type="spellStart"/>
      <w:r>
        <w:rPr>
          <w:color w:val="404040"/>
          <w:sz w:val="23"/>
          <w:szCs w:val="23"/>
          <w:lang w:val="en-US"/>
        </w:rPr>
        <w:t>ili</w:t>
      </w:r>
      <w:proofErr w:type="spellEnd"/>
      <w:r>
        <w:rPr>
          <w:color w:val="404040"/>
          <w:sz w:val="23"/>
          <w:szCs w:val="23"/>
          <w:lang w:val="en-US"/>
        </w:rPr>
        <w:t xml:space="preserve"> </w:t>
      </w:r>
      <w:proofErr w:type="spellStart"/>
      <w:r>
        <w:rPr>
          <w:color w:val="404040"/>
          <w:sz w:val="23"/>
          <w:szCs w:val="23"/>
          <w:lang w:val="en-US"/>
        </w:rPr>
        <w:t>neto</w:t>
      </w:r>
      <w:proofErr w:type="spellEnd"/>
      <w:r>
        <w:rPr>
          <w:color w:val="404040"/>
          <w:sz w:val="23"/>
          <w:szCs w:val="23"/>
          <w:lang w:val="en-US"/>
        </w:rPr>
        <w:t xml:space="preserve"> </w:t>
      </w:r>
      <w:proofErr w:type="spellStart"/>
      <w:r>
        <w:rPr>
          <w:color w:val="404040"/>
          <w:sz w:val="23"/>
          <w:szCs w:val="23"/>
          <w:lang w:val="en-US"/>
        </w:rPr>
        <w:t>vrijednosti</w:t>
      </w:r>
      <w:proofErr w:type="spellEnd"/>
      <w:r>
        <w:rPr>
          <w:color w:val="404040"/>
          <w:sz w:val="23"/>
          <w:szCs w:val="23"/>
          <w:lang w:val="en-US"/>
        </w:rPr>
        <w:t xml:space="preserve"> </w:t>
      </w:r>
      <w:proofErr w:type="spellStart"/>
      <w:r>
        <w:rPr>
          <w:color w:val="404040"/>
          <w:sz w:val="23"/>
          <w:szCs w:val="23"/>
          <w:lang w:val="en-US"/>
        </w:rPr>
        <w:t>koja</w:t>
      </w:r>
      <w:proofErr w:type="spellEnd"/>
      <w:r>
        <w:rPr>
          <w:color w:val="404040"/>
          <w:sz w:val="23"/>
          <w:szCs w:val="23"/>
          <w:lang w:val="en-US"/>
        </w:rPr>
        <w:t xml:space="preserve"> se </w:t>
      </w:r>
      <w:proofErr w:type="spellStart"/>
      <w:r>
        <w:rPr>
          <w:color w:val="404040"/>
          <w:sz w:val="23"/>
          <w:szCs w:val="23"/>
          <w:lang w:val="en-US"/>
        </w:rPr>
        <w:t>može</w:t>
      </w:r>
      <w:proofErr w:type="spellEnd"/>
      <w:r>
        <w:rPr>
          <w:color w:val="404040"/>
          <w:sz w:val="23"/>
          <w:szCs w:val="23"/>
          <w:lang w:val="en-US"/>
        </w:rPr>
        <w:t xml:space="preserve"> </w:t>
      </w:r>
      <w:proofErr w:type="spellStart"/>
      <w:r>
        <w:rPr>
          <w:color w:val="404040"/>
          <w:sz w:val="23"/>
          <w:szCs w:val="23"/>
          <w:lang w:val="en-US"/>
        </w:rPr>
        <w:t>realizirati</w:t>
      </w:r>
      <w:proofErr w:type="spellEnd"/>
      <w:r>
        <w:rPr>
          <w:color w:val="404040"/>
          <w:sz w:val="23"/>
          <w:szCs w:val="23"/>
          <w:lang w:val="en-US"/>
        </w:rPr>
        <w:t xml:space="preserve">, </w:t>
      </w:r>
      <w:proofErr w:type="spellStart"/>
      <w:r>
        <w:rPr>
          <w:color w:val="404040"/>
          <w:sz w:val="23"/>
          <w:szCs w:val="23"/>
          <w:lang w:val="en-US"/>
        </w:rPr>
        <w:t>ovisno</w:t>
      </w:r>
      <w:proofErr w:type="spellEnd"/>
      <w:r>
        <w:rPr>
          <w:color w:val="404040"/>
          <w:sz w:val="23"/>
          <w:szCs w:val="23"/>
          <w:lang w:val="en-US"/>
        </w:rPr>
        <w:t xml:space="preserve"> o tome </w:t>
      </w:r>
      <w:proofErr w:type="spellStart"/>
      <w:r>
        <w:rPr>
          <w:color w:val="404040"/>
          <w:sz w:val="23"/>
          <w:szCs w:val="23"/>
          <w:lang w:val="en-US"/>
        </w:rPr>
        <w:t>što</w:t>
      </w:r>
      <w:proofErr w:type="spellEnd"/>
      <w:r>
        <w:rPr>
          <w:color w:val="404040"/>
          <w:sz w:val="23"/>
          <w:szCs w:val="23"/>
          <w:lang w:val="en-US"/>
        </w:rPr>
        <w:t xml:space="preserve"> je </w:t>
      </w:r>
      <w:proofErr w:type="spellStart"/>
      <w:r>
        <w:rPr>
          <w:color w:val="404040"/>
          <w:sz w:val="23"/>
          <w:szCs w:val="23"/>
          <w:lang w:val="en-US"/>
        </w:rPr>
        <w:t>niže</w:t>
      </w:r>
      <w:proofErr w:type="spellEnd"/>
      <w:r>
        <w:rPr>
          <w:color w:val="404040"/>
          <w:sz w:val="23"/>
          <w:szCs w:val="23"/>
          <w:lang w:val="en-US"/>
        </w:rPr>
        <w:t xml:space="preserve">. Neto </w:t>
      </w:r>
      <w:proofErr w:type="spellStart"/>
      <w:r>
        <w:rPr>
          <w:color w:val="404040"/>
          <w:sz w:val="23"/>
          <w:szCs w:val="23"/>
          <w:lang w:val="en-US"/>
        </w:rPr>
        <w:t>vrijednost</w:t>
      </w:r>
      <w:proofErr w:type="spellEnd"/>
      <w:r>
        <w:rPr>
          <w:color w:val="404040"/>
          <w:sz w:val="23"/>
          <w:szCs w:val="23"/>
          <w:lang w:val="en-US"/>
        </w:rPr>
        <w:t xml:space="preserve"> </w:t>
      </w:r>
      <w:proofErr w:type="spellStart"/>
      <w:r>
        <w:rPr>
          <w:color w:val="404040"/>
          <w:sz w:val="23"/>
          <w:szCs w:val="23"/>
          <w:lang w:val="en-US"/>
        </w:rPr>
        <w:t>koja</w:t>
      </w:r>
      <w:proofErr w:type="spellEnd"/>
      <w:r>
        <w:rPr>
          <w:color w:val="404040"/>
          <w:sz w:val="23"/>
          <w:szCs w:val="23"/>
          <w:lang w:val="en-US"/>
        </w:rPr>
        <w:t xml:space="preserve"> se </w:t>
      </w:r>
      <w:proofErr w:type="spellStart"/>
      <w:r>
        <w:rPr>
          <w:color w:val="404040"/>
          <w:sz w:val="23"/>
          <w:szCs w:val="23"/>
          <w:lang w:val="en-US"/>
        </w:rPr>
        <w:t>može</w:t>
      </w:r>
      <w:proofErr w:type="spellEnd"/>
      <w:r>
        <w:rPr>
          <w:color w:val="404040"/>
          <w:sz w:val="23"/>
          <w:szCs w:val="23"/>
          <w:lang w:val="en-US"/>
        </w:rPr>
        <w:t xml:space="preserve"> </w:t>
      </w:r>
      <w:proofErr w:type="spellStart"/>
      <w:r>
        <w:rPr>
          <w:color w:val="404040"/>
          <w:sz w:val="23"/>
          <w:szCs w:val="23"/>
          <w:lang w:val="en-US"/>
        </w:rPr>
        <w:t>realizirati</w:t>
      </w:r>
      <w:proofErr w:type="spellEnd"/>
      <w:r>
        <w:rPr>
          <w:color w:val="404040"/>
          <w:sz w:val="23"/>
          <w:szCs w:val="23"/>
          <w:lang w:val="en-US"/>
        </w:rPr>
        <w:t xml:space="preserve"> </w:t>
      </w:r>
      <w:proofErr w:type="spellStart"/>
      <w:r>
        <w:rPr>
          <w:color w:val="404040"/>
          <w:sz w:val="23"/>
          <w:szCs w:val="23"/>
          <w:lang w:val="en-US"/>
        </w:rPr>
        <w:t>predstavlja</w:t>
      </w:r>
      <w:proofErr w:type="spellEnd"/>
      <w:r>
        <w:rPr>
          <w:color w:val="404040"/>
          <w:sz w:val="23"/>
          <w:szCs w:val="23"/>
          <w:lang w:val="en-US"/>
        </w:rPr>
        <w:t xml:space="preserve"> </w:t>
      </w:r>
      <w:proofErr w:type="spellStart"/>
      <w:r>
        <w:rPr>
          <w:color w:val="404040"/>
          <w:sz w:val="23"/>
          <w:szCs w:val="23"/>
          <w:lang w:val="en-US"/>
        </w:rPr>
        <w:t>procijenjenu</w:t>
      </w:r>
      <w:proofErr w:type="spellEnd"/>
      <w:r>
        <w:rPr>
          <w:color w:val="404040"/>
          <w:sz w:val="23"/>
          <w:szCs w:val="23"/>
          <w:lang w:val="en-US"/>
        </w:rPr>
        <w:t xml:space="preserve"> </w:t>
      </w:r>
      <w:proofErr w:type="spellStart"/>
      <w:r>
        <w:rPr>
          <w:color w:val="404040"/>
          <w:sz w:val="23"/>
          <w:szCs w:val="23"/>
          <w:lang w:val="en-US"/>
        </w:rPr>
        <w:t>prodajnu</w:t>
      </w:r>
      <w:proofErr w:type="spellEnd"/>
      <w:r>
        <w:rPr>
          <w:color w:val="404040"/>
          <w:sz w:val="23"/>
          <w:szCs w:val="23"/>
          <w:lang w:val="en-US"/>
        </w:rPr>
        <w:t xml:space="preserve"> </w:t>
      </w:r>
      <w:proofErr w:type="spellStart"/>
      <w:r>
        <w:rPr>
          <w:color w:val="404040"/>
          <w:sz w:val="23"/>
          <w:szCs w:val="23"/>
          <w:lang w:val="en-US"/>
        </w:rPr>
        <w:t>cijenu</w:t>
      </w:r>
      <w:proofErr w:type="spellEnd"/>
      <w:r>
        <w:rPr>
          <w:color w:val="404040"/>
          <w:sz w:val="23"/>
          <w:szCs w:val="23"/>
          <w:lang w:val="en-US"/>
        </w:rPr>
        <w:t xml:space="preserve"> </w:t>
      </w:r>
      <w:proofErr w:type="spellStart"/>
      <w:r>
        <w:rPr>
          <w:color w:val="404040"/>
          <w:sz w:val="23"/>
          <w:szCs w:val="23"/>
          <w:lang w:val="en-US"/>
        </w:rPr>
        <w:t>umanjenu</w:t>
      </w:r>
      <w:proofErr w:type="spellEnd"/>
      <w:r>
        <w:rPr>
          <w:color w:val="404040"/>
          <w:sz w:val="23"/>
          <w:szCs w:val="23"/>
          <w:lang w:val="en-US"/>
        </w:rPr>
        <w:t xml:space="preserve"> za </w:t>
      </w:r>
      <w:proofErr w:type="spellStart"/>
      <w:r>
        <w:rPr>
          <w:color w:val="404040"/>
          <w:sz w:val="23"/>
          <w:szCs w:val="23"/>
          <w:lang w:val="en-US"/>
        </w:rPr>
        <w:t>sve</w:t>
      </w:r>
      <w:proofErr w:type="spellEnd"/>
      <w:r>
        <w:rPr>
          <w:color w:val="404040"/>
          <w:sz w:val="23"/>
          <w:szCs w:val="23"/>
          <w:lang w:val="en-US"/>
        </w:rPr>
        <w:t xml:space="preserve"> </w:t>
      </w:r>
      <w:proofErr w:type="spellStart"/>
      <w:r>
        <w:rPr>
          <w:color w:val="404040"/>
          <w:sz w:val="23"/>
          <w:szCs w:val="23"/>
          <w:lang w:val="en-US"/>
        </w:rPr>
        <w:t>procijenjene</w:t>
      </w:r>
      <w:proofErr w:type="spellEnd"/>
      <w:r>
        <w:rPr>
          <w:color w:val="404040"/>
          <w:sz w:val="23"/>
          <w:szCs w:val="23"/>
          <w:lang w:val="en-US"/>
        </w:rPr>
        <w:t xml:space="preserve"> </w:t>
      </w:r>
      <w:proofErr w:type="spellStart"/>
      <w:r>
        <w:rPr>
          <w:color w:val="404040"/>
          <w:sz w:val="23"/>
          <w:szCs w:val="23"/>
          <w:lang w:val="en-US"/>
        </w:rPr>
        <w:t>troškove</w:t>
      </w:r>
      <w:proofErr w:type="spellEnd"/>
      <w:r>
        <w:rPr>
          <w:color w:val="404040"/>
          <w:sz w:val="23"/>
          <w:szCs w:val="23"/>
          <w:lang w:val="en-US"/>
        </w:rPr>
        <w:t xml:space="preserve"> </w:t>
      </w:r>
      <w:proofErr w:type="spellStart"/>
      <w:r>
        <w:rPr>
          <w:color w:val="404040"/>
          <w:sz w:val="23"/>
          <w:szCs w:val="23"/>
          <w:lang w:val="en-US"/>
        </w:rPr>
        <w:t>dovršenja</w:t>
      </w:r>
      <w:proofErr w:type="spellEnd"/>
      <w:r>
        <w:rPr>
          <w:color w:val="404040"/>
          <w:sz w:val="23"/>
          <w:szCs w:val="23"/>
          <w:lang w:val="en-US"/>
        </w:rPr>
        <w:t xml:space="preserve">, </w:t>
      </w:r>
      <w:proofErr w:type="spellStart"/>
      <w:r>
        <w:rPr>
          <w:color w:val="404040"/>
          <w:sz w:val="23"/>
          <w:szCs w:val="23"/>
          <w:lang w:val="en-US"/>
        </w:rPr>
        <w:t>marketinga</w:t>
      </w:r>
      <w:proofErr w:type="spellEnd"/>
      <w:r>
        <w:rPr>
          <w:color w:val="404040"/>
          <w:sz w:val="23"/>
          <w:szCs w:val="23"/>
          <w:lang w:val="en-US"/>
        </w:rPr>
        <w:t xml:space="preserve">, </w:t>
      </w:r>
      <w:proofErr w:type="spellStart"/>
      <w:r>
        <w:rPr>
          <w:color w:val="404040"/>
          <w:sz w:val="23"/>
          <w:szCs w:val="23"/>
          <w:lang w:val="en-US"/>
        </w:rPr>
        <w:t>prodaje</w:t>
      </w:r>
      <w:proofErr w:type="spellEnd"/>
      <w:r>
        <w:rPr>
          <w:color w:val="404040"/>
          <w:sz w:val="23"/>
          <w:szCs w:val="23"/>
          <w:lang w:val="en-US"/>
        </w:rPr>
        <w:t xml:space="preserve"> i </w:t>
      </w:r>
      <w:proofErr w:type="spellStart"/>
      <w:r>
        <w:rPr>
          <w:color w:val="404040"/>
          <w:sz w:val="23"/>
          <w:szCs w:val="23"/>
          <w:lang w:val="en-US"/>
        </w:rPr>
        <w:t>distribucije</w:t>
      </w:r>
      <w:proofErr w:type="spellEnd"/>
      <w:r>
        <w:rPr>
          <w:color w:val="404040"/>
          <w:sz w:val="23"/>
          <w:szCs w:val="23"/>
          <w:lang w:val="en-US"/>
        </w:rPr>
        <w:t>.</w:t>
      </w:r>
    </w:p>
    <w:p w14:paraId="30546D62" w14:textId="77777777" w:rsidR="00747201" w:rsidRDefault="00FC772B">
      <w:pPr>
        <w:pStyle w:val="Default"/>
        <w:spacing w:line="276" w:lineRule="auto"/>
        <w:jc w:val="both"/>
        <w:rPr>
          <w:color w:val="404040"/>
          <w:sz w:val="23"/>
          <w:szCs w:val="23"/>
          <w:lang w:val="en-US"/>
        </w:rPr>
      </w:pPr>
      <w:r>
        <w:rPr>
          <w:color w:val="404040"/>
          <w:sz w:val="23"/>
          <w:szCs w:val="23"/>
          <w:lang w:val="en-US"/>
        </w:rPr>
        <w:tab/>
      </w:r>
      <w:proofErr w:type="spellStart"/>
      <w:r>
        <w:rPr>
          <w:color w:val="404040"/>
          <w:sz w:val="23"/>
          <w:szCs w:val="23"/>
          <w:lang w:val="en-US"/>
        </w:rPr>
        <w:t>Sitni</w:t>
      </w:r>
      <w:proofErr w:type="spellEnd"/>
      <w:r>
        <w:rPr>
          <w:color w:val="404040"/>
          <w:sz w:val="23"/>
          <w:szCs w:val="23"/>
          <w:lang w:val="en-US"/>
        </w:rPr>
        <w:t xml:space="preserve"> </w:t>
      </w:r>
      <w:proofErr w:type="spellStart"/>
      <w:r>
        <w:rPr>
          <w:color w:val="404040"/>
          <w:sz w:val="23"/>
          <w:szCs w:val="23"/>
          <w:lang w:val="en-US"/>
        </w:rPr>
        <w:t>inventar</w:t>
      </w:r>
      <w:proofErr w:type="spellEnd"/>
      <w:r>
        <w:rPr>
          <w:color w:val="404040"/>
          <w:sz w:val="23"/>
          <w:szCs w:val="23"/>
          <w:lang w:val="en-US"/>
        </w:rPr>
        <w:t xml:space="preserve"> se </w:t>
      </w:r>
      <w:proofErr w:type="spellStart"/>
      <w:r>
        <w:rPr>
          <w:color w:val="404040"/>
          <w:sz w:val="23"/>
          <w:szCs w:val="23"/>
          <w:lang w:val="en-US"/>
        </w:rPr>
        <w:t>otpisuje</w:t>
      </w:r>
      <w:proofErr w:type="spellEnd"/>
      <w:r>
        <w:rPr>
          <w:color w:val="404040"/>
          <w:sz w:val="23"/>
          <w:szCs w:val="23"/>
          <w:lang w:val="en-US"/>
        </w:rPr>
        <w:t xml:space="preserve"> u 100%-</w:t>
      </w:r>
      <w:proofErr w:type="spellStart"/>
      <w:r>
        <w:rPr>
          <w:color w:val="404040"/>
          <w:sz w:val="23"/>
          <w:szCs w:val="23"/>
          <w:lang w:val="en-US"/>
        </w:rPr>
        <w:t>tnom</w:t>
      </w:r>
      <w:proofErr w:type="spellEnd"/>
      <w:r>
        <w:rPr>
          <w:color w:val="404040"/>
          <w:sz w:val="23"/>
          <w:szCs w:val="23"/>
          <w:lang w:val="en-US"/>
        </w:rPr>
        <w:t xml:space="preserve"> </w:t>
      </w:r>
      <w:proofErr w:type="spellStart"/>
      <w:r>
        <w:rPr>
          <w:color w:val="404040"/>
          <w:sz w:val="23"/>
          <w:szCs w:val="23"/>
          <w:lang w:val="en-US"/>
        </w:rPr>
        <w:t>iznosu</w:t>
      </w:r>
      <w:proofErr w:type="spellEnd"/>
      <w:r>
        <w:rPr>
          <w:color w:val="404040"/>
          <w:sz w:val="23"/>
          <w:szCs w:val="23"/>
          <w:lang w:val="en-US"/>
        </w:rPr>
        <w:t xml:space="preserve"> </w:t>
      </w:r>
      <w:proofErr w:type="spellStart"/>
      <w:r>
        <w:rPr>
          <w:color w:val="404040"/>
          <w:sz w:val="23"/>
          <w:szCs w:val="23"/>
          <w:lang w:val="en-US"/>
        </w:rPr>
        <w:t>prilikom</w:t>
      </w:r>
      <w:proofErr w:type="spellEnd"/>
      <w:r>
        <w:rPr>
          <w:color w:val="404040"/>
          <w:sz w:val="23"/>
          <w:szCs w:val="23"/>
          <w:lang w:val="en-US"/>
        </w:rPr>
        <w:t xml:space="preserve"> </w:t>
      </w:r>
      <w:proofErr w:type="spellStart"/>
      <w:r>
        <w:rPr>
          <w:color w:val="404040"/>
          <w:sz w:val="23"/>
          <w:szCs w:val="23"/>
          <w:lang w:val="en-US"/>
        </w:rPr>
        <w:t>stavljanja</w:t>
      </w:r>
      <w:proofErr w:type="spellEnd"/>
      <w:r>
        <w:rPr>
          <w:color w:val="404040"/>
          <w:sz w:val="23"/>
          <w:szCs w:val="23"/>
          <w:lang w:val="en-US"/>
        </w:rPr>
        <w:t xml:space="preserve"> u </w:t>
      </w:r>
      <w:proofErr w:type="spellStart"/>
      <w:r>
        <w:rPr>
          <w:color w:val="404040"/>
          <w:sz w:val="23"/>
          <w:szCs w:val="23"/>
          <w:lang w:val="en-US"/>
        </w:rPr>
        <w:t>uporabu</w:t>
      </w:r>
      <w:proofErr w:type="spellEnd"/>
      <w:r>
        <w:rPr>
          <w:color w:val="404040"/>
          <w:sz w:val="23"/>
          <w:szCs w:val="23"/>
          <w:lang w:val="en-US"/>
        </w:rPr>
        <w:t>.</w:t>
      </w:r>
    </w:p>
    <w:p w14:paraId="30546D63" w14:textId="77777777" w:rsidR="00747201" w:rsidRDefault="00FC772B">
      <w:pPr>
        <w:pStyle w:val="Default"/>
        <w:spacing w:line="276" w:lineRule="auto"/>
        <w:jc w:val="both"/>
        <w:rPr>
          <w:color w:val="404040"/>
          <w:sz w:val="23"/>
          <w:szCs w:val="23"/>
          <w:lang w:val="en-US"/>
        </w:rPr>
      </w:pPr>
      <w:r>
        <w:rPr>
          <w:color w:val="404040"/>
          <w:sz w:val="23"/>
          <w:szCs w:val="23"/>
          <w:lang w:val="en-US"/>
        </w:rPr>
        <w:tab/>
      </w:r>
      <w:proofErr w:type="spellStart"/>
      <w:r>
        <w:rPr>
          <w:color w:val="404040"/>
          <w:sz w:val="23"/>
          <w:szCs w:val="23"/>
          <w:lang w:val="en-US"/>
        </w:rPr>
        <w:t>Zastarjele</w:t>
      </w:r>
      <w:proofErr w:type="spellEnd"/>
      <w:r>
        <w:rPr>
          <w:color w:val="404040"/>
          <w:sz w:val="23"/>
          <w:szCs w:val="23"/>
          <w:lang w:val="en-US"/>
        </w:rPr>
        <w:t xml:space="preserve"> </w:t>
      </w:r>
      <w:proofErr w:type="spellStart"/>
      <w:r>
        <w:rPr>
          <w:color w:val="404040"/>
          <w:sz w:val="23"/>
          <w:szCs w:val="23"/>
          <w:lang w:val="en-US"/>
        </w:rPr>
        <w:t>zalihe</w:t>
      </w:r>
      <w:proofErr w:type="spellEnd"/>
      <w:r>
        <w:rPr>
          <w:color w:val="404040"/>
          <w:sz w:val="23"/>
          <w:szCs w:val="23"/>
          <w:lang w:val="en-US"/>
        </w:rPr>
        <w:t xml:space="preserve"> i </w:t>
      </w:r>
      <w:proofErr w:type="spellStart"/>
      <w:r>
        <w:rPr>
          <w:color w:val="404040"/>
          <w:sz w:val="23"/>
          <w:szCs w:val="23"/>
          <w:lang w:val="en-US"/>
        </w:rPr>
        <w:t>zalihe</w:t>
      </w:r>
      <w:proofErr w:type="spellEnd"/>
      <w:r>
        <w:rPr>
          <w:color w:val="404040"/>
          <w:sz w:val="23"/>
          <w:szCs w:val="23"/>
          <w:lang w:val="en-US"/>
        </w:rPr>
        <w:t xml:space="preserve"> s </w:t>
      </w:r>
      <w:proofErr w:type="spellStart"/>
      <w:r>
        <w:rPr>
          <w:color w:val="404040"/>
          <w:sz w:val="23"/>
          <w:szCs w:val="23"/>
          <w:lang w:val="en-US"/>
        </w:rPr>
        <w:t>usporenim</w:t>
      </w:r>
      <w:proofErr w:type="spellEnd"/>
      <w:r>
        <w:rPr>
          <w:color w:val="404040"/>
          <w:sz w:val="23"/>
          <w:szCs w:val="23"/>
          <w:lang w:val="en-US"/>
        </w:rPr>
        <w:t xml:space="preserve"> </w:t>
      </w:r>
      <w:proofErr w:type="spellStart"/>
      <w:r>
        <w:rPr>
          <w:color w:val="404040"/>
          <w:sz w:val="23"/>
          <w:szCs w:val="23"/>
          <w:lang w:val="en-US"/>
        </w:rPr>
        <w:t>obrtajem</w:t>
      </w:r>
      <w:proofErr w:type="spellEnd"/>
      <w:r>
        <w:rPr>
          <w:color w:val="404040"/>
          <w:sz w:val="23"/>
          <w:szCs w:val="23"/>
          <w:lang w:val="en-US"/>
        </w:rPr>
        <w:t xml:space="preserve"> </w:t>
      </w:r>
      <w:proofErr w:type="spellStart"/>
      <w:r>
        <w:rPr>
          <w:color w:val="404040"/>
          <w:sz w:val="23"/>
          <w:szCs w:val="23"/>
          <w:lang w:val="en-US"/>
        </w:rPr>
        <w:t>svedene</w:t>
      </w:r>
      <w:proofErr w:type="spellEnd"/>
      <w:r>
        <w:rPr>
          <w:color w:val="404040"/>
          <w:sz w:val="23"/>
          <w:szCs w:val="23"/>
          <w:lang w:val="en-US"/>
        </w:rPr>
        <w:t xml:space="preserve"> </w:t>
      </w:r>
      <w:proofErr w:type="spellStart"/>
      <w:r>
        <w:rPr>
          <w:color w:val="404040"/>
          <w:sz w:val="23"/>
          <w:szCs w:val="23"/>
          <w:lang w:val="en-US"/>
        </w:rPr>
        <w:t>su</w:t>
      </w:r>
      <w:proofErr w:type="spellEnd"/>
      <w:r>
        <w:rPr>
          <w:color w:val="404040"/>
          <w:sz w:val="23"/>
          <w:szCs w:val="23"/>
          <w:lang w:val="en-US"/>
        </w:rPr>
        <w:t xml:space="preserve"> </w:t>
      </w:r>
      <w:proofErr w:type="spellStart"/>
      <w:r>
        <w:rPr>
          <w:color w:val="404040"/>
          <w:sz w:val="23"/>
          <w:szCs w:val="23"/>
          <w:lang w:val="en-US"/>
        </w:rPr>
        <w:t>na</w:t>
      </w:r>
      <w:proofErr w:type="spellEnd"/>
      <w:r>
        <w:rPr>
          <w:color w:val="404040"/>
          <w:sz w:val="23"/>
          <w:szCs w:val="23"/>
          <w:lang w:val="en-US"/>
        </w:rPr>
        <w:t xml:space="preserve"> </w:t>
      </w:r>
      <w:proofErr w:type="spellStart"/>
      <w:r>
        <w:rPr>
          <w:color w:val="404040"/>
          <w:sz w:val="23"/>
          <w:szCs w:val="23"/>
          <w:lang w:val="en-US"/>
        </w:rPr>
        <w:t>nadoknadivu</w:t>
      </w:r>
      <w:proofErr w:type="spellEnd"/>
      <w:r>
        <w:rPr>
          <w:color w:val="404040"/>
          <w:sz w:val="23"/>
          <w:szCs w:val="23"/>
          <w:lang w:val="en-US"/>
        </w:rPr>
        <w:t xml:space="preserve"> </w:t>
      </w:r>
      <w:proofErr w:type="spellStart"/>
      <w:r>
        <w:rPr>
          <w:color w:val="404040"/>
          <w:sz w:val="23"/>
          <w:szCs w:val="23"/>
          <w:lang w:val="en-US"/>
        </w:rPr>
        <w:t>vrijednost</w:t>
      </w:r>
      <w:proofErr w:type="spellEnd"/>
      <w:r>
        <w:rPr>
          <w:color w:val="404040"/>
          <w:sz w:val="23"/>
          <w:szCs w:val="23"/>
          <w:lang w:val="en-US"/>
        </w:rPr>
        <w:t xml:space="preserve"> </w:t>
      </w:r>
      <w:proofErr w:type="spellStart"/>
      <w:r>
        <w:rPr>
          <w:color w:val="404040"/>
          <w:sz w:val="23"/>
          <w:szCs w:val="23"/>
          <w:lang w:val="en-US"/>
        </w:rPr>
        <w:t>korištenjem</w:t>
      </w:r>
      <w:proofErr w:type="spellEnd"/>
      <w:r>
        <w:rPr>
          <w:color w:val="404040"/>
          <w:sz w:val="23"/>
          <w:szCs w:val="23"/>
          <w:lang w:val="en-US"/>
        </w:rPr>
        <w:t xml:space="preserve"> </w:t>
      </w:r>
      <w:proofErr w:type="spellStart"/>
      <w:r>
        <w:rPr>
          <w:color w:val="404040"/>
          <w:sz w:val="23"/>
          <w:szCs w:val="23"/>
          <w:lang w:val="en-US"/>
        </w:rPr>
        <w:t>vrijednosnog</w:t>
      </w:r>
      <w:proofErr w:type="spellEnd"/>
      <w:r>
        <w:rPr>
          <w:color w:val="404040"/>
          <w:sz w:val="23"/>
          <w:szCs w:val="23"/>
          <w:lang w:val="en-US"/>
        </w:rPr>
        <w:t xml:space="preserve"> </w:t>
      </w:r>
      <w:proofErr w:type="spellStart"/>
      <w:r>
        <w:rPr>
          <w:color w:val="404040"/>
          <w:sz w:val="23"/>
          <w:szCs w:val="23"/>
          <w:lang w:val="en-US"/>
        </w:rPr>
        <w:t>usklađenja</w:t>
      </w:r>
      <w:proofErr w:type="spellEnd"/>
      <w:r>
        <w:rPr>
          <w:color w:val="404040"/>
          <w:sz w:val="23"/>
          <w:szCs w:val="23"/>
          <w:lang w:val="en-US"/>
        </w:rPr>
        <w:t xml:space="preserve"> </w:t>
      </w:r>
      <w:proofErr w:type="spellStart"/>
      <w:r>
        <w:rPr>
          <w:color w:val="404040"/>
          <w:sz w:val="23"/>
          <w:szCs w:val="23"/>
          <w:lang w:val="en-US"/>
        </w:rPr>
        <w:t>zaliha</w:t>
      </w:r>
      <w:proofErr w:type="spellEnd"/>
      <w:r>
        <w:rPr>
          <w:color w:val="404040"/>
          <w:sz w:val="23"/>
          <w:szCs w:val="23"/>
          <w:lang w:val="en-US"/>
        </w:rPr>
        <w:t xml:space="preserve">. </w:t>
      </w:r>
      <w:proofErr w:type="spellStart"/>
      <w:r>
        <w:rPr>
          <w:color w:val="404040"/>
          <w:sz w:val="23"/>
          <w:szCs w:val="23"/>
          <w:lang w:val="en-US"/>
        </w:rPr>
        <w:t>Vrijednosno</w:t>
      </w:r>
      <w:proofErr w:type="spellEnd"/>
      <w:r>
        <w:rPr>
          <w:color w:val="404040"/>
          <w:sz w:val="23"/>
          <w:szCs w:val="23"/>
          <w:lang w:val="en-US"/>
        </w:rPr>
        <w:t xml:space="preserve"> </w:t>
      </w:r>
      <w:proofErr w:type="spellStart"/>
      <w:r>
        <w:rPr>
          <w:color w:val="404040"/>
          <w:sz w:val="23"/>
          <w:szCs w:val="23"/>
          <w:lang w:val="en-US"/>
        </w:rPr>
        <w:t>usklađenje</w:t>
      </w:r>
      <w:proofErr w:type="spellEnd"/>
      <w:r>
        <w:rPr>
          <w:color w:val="404040"/>
          <w:sz w:val="23"/>
          <w:szCs w:val="23"/>
          <w:lang w:val="en-US"/>
        </w:rPr>
        <w:t xml:space="preserve"> </w:t>
      </w:r>
      <w:proofErr w:type="spellStart"/>
      <w:r>
        <w:rPr>
          <w:color w:val="404040"/>
          <w:sz w:val="23"/>
          <w:szCs w:val="23"/>
          <w:lang w:val="en-US"/>
        </w:rPr>
        <w:t>zaliha</w:t>
      </w:r>
      <w:proofErr w:type="spellEnd"/>
      <w:r>
        <w:rPr>
          <w:color w:val="404040"/>
          <w:sz w:val="23"/>
          <w:szCs w:val="23"/>
          <w:lang w:val="en-US"/>
        </w:rPr>
        <w:t xml:space="preserve"> robe </w:t>
      </w:r>
      <w:proofErr w:type="spellStart"/>
      <w:r>
        <w:rPr>
          <w:color w:val="404040"/>
          <w:sz w:val="23"/>
          <w:szCs w:val="23"/>
          <w:lang w:val="en-US"/>
        </w:rPr>
        <w:t>radi</w:t>
      </w:r>
      <w:proofErr w:type="spellEnd"/>
      <w:r>
        <w:rPr>
          <w:color w:val="404040"/>
          <w:sz w:val="23"/>
          <w:szCs w:val="23"/>
          <w:lang w:val="en-US"/>
        </w:rPr>
        <w:t xml:space="preserve"> se </w:t>
      </w:r>
      <w:proofErr w:type="spellStart"/>
      <w:r>
        <w:rPr>
          <w:color w:val="404040"/>
          <w:sz w:val="23"/>
          <w:szCs w:val="23"/>
          <w:lang w:val="en-US"/>
        </w:rPr>
        <w:t>pojedinačno</w:t>
      </w:r>
      <w:proofErr w:type="spellEnd"/>
      <w:r>
        <w:rPr>
          <w:color w:val="404040"/>
          <w:sz w:val="23"/>
          <w:szCs w:val="23"/>
          <w:lang w:val="en-US"/>
        </w:rPr>
        <w:t xml:space="preserve"> za </w:t>
      </w:r>
      <w:proofErr w:type="spellStart"/>
      <w:r>
        <w:rPr>
          <w:color w:val="404040"/>
          <w:sz w:val="23"/>
          <w:szCs w:val="23"/>
          <w:lang w:val="en-US"/>
        </w:rPr>
        <w:t>svaki</w:t>
      </w:r>
      <w:proofErr w:type="spellEnd"/>
      <w:r>
        <w:rPr>
          <w:color w:val="404040"/>
          <w:sz w:val="23"/>
          <w:szCs w:val="23"/>
          <w:lang w:val="en-US"/>
        </w:rPr>
        <w:t xml:space="preserve"> </w:t>
      </w:r>
      <w:proofErr w:type="spellStart"/>
      <w:r>
        <w:rPr>
          <w:color w:val="404040"/>
          <w:sz w:val="23"/>
          <w:szCs w:val="23"/>
          <w:lang w:val="en-US"/>
        </w:rPr>
        <w:t>proizvod</w:t>
      </w:r>
      <w:proofErr w:type="spellEnd"/>
      <w:r>
        <w:rPr>
          <w:color w:val="404040"/>
          <w:sz w:val="23"/>
          <w:szCs w:val="23"/>
          <w:lang w:val="en-US"/>
        </w:rPr>
        <w:t xml:space="preserve"> </w:t>
      </w:r>
      <w:proofErr w:type="spellStart"/>
      <w:r>
        <w:rPr>
          <w:color w:val="404040"/>
          <w:sz w:val="23"/>
          <w:szCs w:val="23"/>
          <w:lang w:val="en-US"/>
        </w:rPr>
        <w:t>ako</w:t>
      </w:r>
      <w:proofErr w:type="spellEnd"/>
      <w:r>
        <w:rPr>
          <w:color w:val="404040"/>
          <w:sz w:val="23"/>
          <w:szCs w:val="23"/>
          <w:lang w:val="en-US"/>
        </w:rPr>
        <w:t xml:space="preserve"> je </w:t>
      </w:r>
      <w:proofErr w:type="spellStart"/>
      <w:r>
        <w:rPr>
          <w:color w:val="404040"/>
          <w:sz w:val="23"/>
          <w:szCs w:val="23"/>
          <w:lang w:val="en-US"/>
        </w:rPr>
        <w:t>roba</w:t>
      </w:r>
      <w:proofErr w:type="spellEnd"/>
      <w:r>
        <w:rPr>
          <w:color w:val="404040"/>
          <w:sz w:val="23"/>
          <w:szCs w:val="23"/>
          <w:lang w:val="en-US"/>
        </w:rPr>
        <w:t xml:space="preserve"> </w:t>
      </w:r>
      <w:proofErr w:type="spellStart"/>
      <w:r>
        <w:rPr>
          <w:color w:val="404040"/>
          <w:sz w:val="23"/>
          <w:szCs w:val="23"/>
          <w:lang w:val="en-US"/>
        </w:rPr>
        <w:t>oštećena</w:t>
      </w:r>
      <w:proofErr w:type="spellEnd"/>
      <w:r>
        <w:rPr>
          <w:color w:val="404040"/>
          <w:sz w:val="23"/>
          <w:szCs w:val="23"/>
          <w:lang w:val="en-US"/>
        </w:rPr>
        <w:t xml:space="preserve">, </w:t>
      </w:r>
      <w:proofErr w:type="spellStart"/>
      <w:r>
        <w:rPr>
          <w:color w:val="404040"/>
          <w:sz w:val="23"/>
          <w:szCs w:val="23"/>
          <w:lang w:val="en-US"/>
        </w:rPr>
        <w:t>djelomično</w:t>
      </w:r>
      <w:proofErr w:type="spellEnd"/>
      <w:r>
        <w:rPr>
          <w:color w:val="404040"/>
          <w:sz w:val="23"/>
          <w:szCs w:val="23"/>
          <w:lang w:val="en-US"/>
        </w:rPr>
        <w:t xml:space="preserve"> </w:t>
      </w:r>
      <w:proofErr w:type="spellStart"/>
      <w:r>
        <w:rPr>
          <w:color w:val="404040"/>
          <w:sz w:val="23"/>
          <w:szCs w:val="23"/>
          <w:lang w:val="en-US"/>
        </w:rPr>
        <w:t>ili</w:t>
      </w:r>
      <w:proofErr w:type="spellEnd"/>
      <w:r>
        <w:rPr>
          <w:color w:val="404040"/>
          <w:sz w:val="23"/>
          <w:szCs w:val="23"/>
          <w:lang w:val="en-US"/>
        </w:rPr>
        <w:t xml:space="preserve"> </w:t>
      </w:r>
      <w:proofErr w:type="spellStart"/>
      <w:r>
        <w:rPr>
          <w:color w:val="404040"/>
          <w:sz w:val="23"/>
          <w:szCs w:val="23"/>
          <w:lang w:val="en-US"/>
        </w:rPr>
        <w:t>potpuno</w:t>
      </w:r>
      <w:proofErr w:type="spellEnd"/>
      <w:r>
        <w:rPr>
          <w:color w:val="404040"/>
          <w:sz w:val="23"/>
          <w:szCs w:val="23"/>
          <w:lang w:val="en-US"/>
        </w:rPr>
        <w:t xml:space="preserve"> </w:t>
      </w:r>
      <w:proofErr w:type="spellStart"/>
      <w:r>
        <w:rPr>
          <w:color w:val="404040"/>
          <w:sz w:val="23"/>
          <w:szCs w:val="23"/>
          <w:lang w:val="en-US"/>
        </w:rPr>
        <w:t>zastarjela</w:t>
      </w:r>
      <w:proofErr w:type="spellEnd"/>
      <w:r>
        <w:rPr>
          <w:color w:val="404040"/>
          <w:sz w:val="23"/>
          <w:szCs w:val="23"/>
          <w:lang w:val="en-US"/>
        </w:rPr>
        <w:t xml:space="preserve"> </w:t>
      </w:r>
      <w:proofErr w:type="spellStart"/>
      <w:r>
        <w:rPr>
          <w:color w:val="404040"/>
          <w:sz w:val="23"/>
          <w:szCs w:val="23"/>
          <w:lang w:val="en-US"/>
        </w:rPr>
        <w:t>ili</w:t>
      </w:r>
      <w:proofErr w:type="spellEnd"/>
      <w:r>
        <w:rPr>
          <w:color w:val="404040"/>
          <w:sz w:val="23"/>
          <w:szCs w:val="23"/>
          <w:lang w:val="en-US"/>
        </w:rPr>
        <w:t xml:space="preserve"> je </w:t>
      </w:r>
      <w:proofErr w:type="spellStart"/>
      <w:r>
        <w:rPr>
          <w:color w:val="404040"/>
          <w:sz w:val="23"/>
          <w:szCs w:val="23"/>
          <w:lang w:val="en-US"/>
        </w:rPr>
        <w:t>pala</w:t>
      </w:r>
      <w:proofErr w:type="spellEnd"/>
      <w:r>
        <w:rPr>
          <w:color w:val="404040"/>
          <w:sz w:val="23"/>
          <w:szCs w:val="23"/>
          <w:lang w:val="en-US"/>
        </w:rPr>
        <w:t xml:space="preserve"> </w:t>
      </w:r>
      <w:proofErr w:type="spellStart"/>
      <w:r>
        <w:rPr>
          <w:color w:val="404040"/>
          <w:sz w:val="23"/>
          <w:szCs w:val="23"/>
          <w:lang w:val="en-US"/>
        </w:rPr>
        <w:t>njena</w:t>
      </w:r>
      <w:proofErr w:type="spellEnd"/>
      <w:r>
        <w:rPr>
          <w:color w:val="404040"/>
          <w:sz w:val="23"/>
          <w:szCs w:val="23"/>
          <w:lang w:val="en-US"/>
        </w:rPr>
        <w:t xml:space="preserve"> </w:t>
      </w:r>
      <w:proofErr w:type="spellStart"/>
      <w:r>
        <w:rPr>
          <w:color w:val="404040"/>
          <w:sz w:val="23"/>
          <w:szCs w:val="23"/>
          <w:lang w:val="en-US"/>
        </w:rPr>
        <w:t>prodajna</w:t>
      </w:r>
      <w:proofErr w:type="spellEnd"/>
      <w:r>
        <w:rPr>
          <w:color w:val="404040"/>
          <w:sz w:val="23"/>
          <w:szCs w:val="23"/>
          <w:lang w:val="en-US"/>
        </w:rPr>
        <w:t xml:space="preserve"> </w:t>
      </w:r>
      <w:proofErr w:type="spellStart"/>
      <w:r>
        <w:rPr>
          <w:color w:val="404040"/>
          <w:sz w:val="23"/>
          <w:szCs w:val="23"/>
          <w:lang w:val="en-US"/>
        </w:rPr>
        <w:t>cijena</w:t>
      </w:r>
      <w:proofErr w:type="spellEnd"/>
      <w:r>
        <w:rPr>
          <w:color w:val="404040"/>
          <w:sz w:val="23"/>
          <w:szCs w:val="23"/>
          <w:lang w:val="en-US"/>
        </w:rPr>
        <w:t>.</w:t>
      </w:r>
    </w:p>
    <w:p w14:paraId="30546D64" w14:textId="77777777" w:rsidR="00747201" w:rsidRDefault="00FC772B">
      <w:pPr>
        <w:pStyle w:val="Default"/>
        <w:spacing w:line="276" w:lineRule="auto"/>
        <w:jc w:val="both"/>
        <w:rPr>
          <w:color w:val="404040"/>
          <w:sz w:val="23"/>
          <w:szCs w:val="23"/>
          <w:lang w:val="en-US"/>
        </w:rPr>
      </w:pPr>
      <w:r>
        <w:rPr>
          <w:color w:val="404040"/>
          <w:sz w:val="23"/>
          <w:szCs w:val="23"/>
          <w:lang w:val="en-US"/>
        </w:rPr>
        <w:tab/>
      </w:r>
      <w:proofErr w:type="spellStart"/>
      <w:r>
        <w:rPr>
          <w:color w:val="404040"/>
          <w:sz w:val="23"/>
          <w:szCs w:val="23"/>
          <w:lang w:val="en-US"/>
        </w:rPr>
        <w:t>Priznaju</w:t>
      </w:r>
      <w:proofErr w:type="spellEnd"/>
      <w:r>
        <w:rPr>
          <w:color w:val="404040"/>
          <w:sz w:val="23"/>
          <w:szCs w:val="23"/>
          <w:lang w:val="en-US"/>
        </w:rPr>
        <w:t xml:space="preserve"> se u </w:t>
      </w:r>
      <w:proofErr w:type="spellStart"/>
      <w:r>
        <w:rPr>
          <w:color w:val="404040"/>
          <w:sz w:val="23"/>
          <w:szCs w:val="23"/>
          <w:lang w:val="en-US"/>
        </w:rPr>
        <w:t>skladu</w:t>
      </w:r>
      <w:proofErr w:type="spellEnd"/>
      <w:r>
        <w:rPr>
          <w:color w:val="404040"/>
          <w:sz w:val="23"/>
          <w:szCs w:val="23"/>
          <w:lang w:val="en-US"/>
        </w:rPr>
        <w:t xml:space="preserve"> s HSFI 10.</w:t>
      </w:r>
    </w:p>
    <w:p w14:paraId="30546D65" w14:textId="77777777" w:rsidR="00747201" w:rsidRDefault="00747201">
      <w:pPr>
        <w:pStyle w:val="Default"/>
        <w:spacing w:line="276" w:lineRule="auto"/>
        <w:jc w:val="both"/>
        <w:rPr>
          <w:color w:val="404040"/>
          <w:sz w:val="23"/>
          <w:szCs w:val="23"/>
        </w:rPr>
      </w:pPr>
    </w:p>
    <w:p w14:paraId="30546D66" w14:textId="77777777" w:rsidR="00747201" w:rsidRDefault="00FC772B">
      <w:pPr>
        <w:pStyle w:val="Default"/>
        <w:spacing w:line="276" w:lineRule="auto"/>
        <w:ind w:left="708"/>
        <w:jc w:val="both"/>
        <w:rPr>
          <w:b/>
          <w:color w:val="404040"/>
          <w:sz w:val="23"/>
          <w:szCs w:val="23"/>
        </w:rPr>
      </w:pPr>
      <w:r>
        <w:rPr>
          <w:b/>
          <w:color w:val="404040"/>
          <w:sz w:val="23"/>
          <w:szCs w:val="23"/>
        </w:rPr>
        <w:t>Potraživanja od kupaca</w:t>
      </w:r>
    </w:p>
    <w:p w14:paraId="30546D67" w14:textId="77777777" w:rsidR="00747201" w:rsidRDefault="00FC772B">
      <w:pPr>
        <w:pStyle w:val="Default"/>
        <w:jc w:val="both"/>
        <w:rPr>
          <w:color w:val="404040"/>
          <w:sz w:val="23"/>
          <w:szCs w:val="23"/>
        </w:rPr>
      </w:pPr>
      <w:r>
        <w:rPr>
          <w:color w:val="404040"/>
          <w:sz w:val="23"/>
          <w:szCs w:val="23"/>
        </w:rPr>
        <w:tab/>
        <w:t>Potraživanja od kupaca predstavljaju prava na naplatu određenih iznosa od kupaca ili drugih dužnika kao rezultat poslovnih aktivnosti. Početno se mjere po fer vrijednosti dane naknade, dok se potraživanja s dospijećem dužim od godine dana naknadno mjere po amortiziranom trošku primjenom metode efektivne kamatne stope, umanjenom za gubitak od umanjenja vrijednosti.</w:t>
      </w:r>
    </w:p>
    <w:p w14:paraId="30546D68" w14:textId="77777777" w:rsidR="00747201" w:rsidRDefault="00FC772B">
      <w:pPr>
        <w:pStyle w:val="Default"/>
        <w:jc w:val="both"/>
        <w:rPr>
          <w:color w:val="404040"/>
          <w:sz w:val="23"/>
          <w:szCs w:val="23"/>
        </w:rPr>
      </w:pPr>
      <w:r>
        <w:rPr>
          <w:color w:val="404040"/>
          <w:sz w:val="23"/>
          <w:szCs w:val="23"/>
        </w:rPr>
        <w:tab/>
        <w:t>Ostala potraživanja mjere se po početno priznatom iznosu, umanjenom za naplaćene iznose i ispravke vrijednosti.</w:t>
      </w:r>
    </w:p>
    <w:p w14:paraId="30546D69" w14:textId="77777777" w:rsidR="00747201" w:rsidRDefault="00FC772B">
      <w:pPr>
        <w:pStyle w:val="Default"/>
        <w:jc w:val="both"/>
        <w:rPr>
          <w:color w:val="404040"/>
          <w:sz w:val="23"/>
          <w:szCs w:val="23"/>
        </w:rPr>
      </w:pPr>
      <w:r>
        <w:rPr>
          <w:color w:val="404040"/>
          <w:sz w:val="23"/>
          <w:szCs w:val="23"/>
        </w:rPr>
        <w:tab/>
        <w:t>Smanjenje vrijednosti provodi se ako su potraživanja nenaplativa, pri čemu se rizik nenaplativosti procjenjuje pojedinačno u slučaju kašnjenja naplate ili kada postoje objektivni dokazi, a najkasnije na dan bilance.</w:t>
      </w:r>
    </w:p>
    <w:p w14:paraId="30546D6A" w14:textId="77777777" w:rsidR="00747201" w:rsidRDefault="00FC772B">
      <w:pPr>
        <w:pStyle w:val="Default"/>
        <w:jc w:val="both"/>
        <w:rPr>
          <w:color w:val="404040"/>
          <w:sz w:val="23"/>
          <w:szCs w:val="23"/>
        </w:rPr>
      </w:pPr>
      <w:r>
        <w:rPr>
          <w:color w:val="404040"/>
          <w:sz w:val="23"/>
          <w:szCs w:val="23"/>
        </w:rPr>
        <w:tab/>
        <w:t>Priznaju se u skladu s HSFI 11.</w:t>
      </w:r>
    </w:p>
    <w:p w14:paraId="30546D6B" w14:textId="77777777" w:rsidR="00747201" w:rsidRDefault="00747201">
      <w:pPr>
        <w:pStyle w:val="Default"/>
        <w:spacing w:line="276" w:lineRule="auto"/>
        <w:jc w:val="both"/>
        <w:rPr>
          <w:color w:val="404040"/>
          <w:sz w:val="23"/>
          <w:szCs w:val="23"/>
        </w:rPr>
      </w:pPr>
    </w:p>
    <w:p w14:paraId="30546D6C" w14:textId="77777777" w:rsidR="00747201" w:rsidRDefault="00FC772B">
      <w:pPr>
        <w:pStyle w:val="Default"/>
        <w:spacing w:line="276" w:lineRule="auto"/>
        <w:jc w:val="both"/>
        <w:rPr>
          <w:b/>
          <w:bCs/>
          <w:color w:val="404040"/>
          <w:sz w:val="23"/>
          <w:szCs w:val="23"/>
          <w:lang w:val="en-US"/>
        </w:rPr>
      </w:pPr>
      <w:r>
        <w:rPr>
          <w:b/>
          <w:bCs/>
          <w:color w:val="404040"/>
          <w:sz w:val="23"/>
          <w:szCs w:val="23"/>
          <w:lang w:val="en-US"/>
        </w:rPr>
        <w:lastRenderedPageBreak/>
        <w:tab/>
      </w:r>
      <w:proofErr w:type="spellStart"/>
      <w:r>
        <w:rPr>
          <w:b/>
          <w:bCs/>
          <w:color w:val="404040"/>
          <w:sz w:val="23"/>
          <w:szCs w:val="23"/>
          <w:lang w:val="en-US"/>
        </w:rPr>
        <w:t>Najmovi</w:t>
      </w:r>
      <w:proofErr w:type="spellEnd"/>
      <w:r>
        <w:rPr>
          <w:color w:val="404040"/>
          <w:sz w:val="23"/>
          <w:szCs w:val="23"/>
          <w:lang w:val="en-US"/>
        </w:rPr>
        <w:br/>
      </w:r>
      <w:r>
        <w:rPr>
          <w:color w:val="404040"/>
          <w:sz w:val="23"/>
          <w:szCs w:val="23"/>
          <w:lang w:val="en-US"/>
        </w:rPr>
        <w:tab/>
      </w:r>
      <w:proofErr w:type="spellStart"/>
      <w:r>
        <w:rPr>
          <w:color w:val="404040"/>
          <w:sz w:val="23"/>
          <w:szCs w:val="23"/>
          <w:lang w:val="en-US"/>
        </w:rPr>
        <w:t>Najmovi</w:t>
      </w:r>
      <w:proofErr w:type="spellEnd"/>
      <w:r>
        <w:rPr>
          <w:color w:val="404040"/>
          <w:sz w:val="23"/>
          <w:szCs w:val="23"/>
          <w:lang w:val="en-US"/>
        </w:rPr>
        <w:t xml:space="preserve"> se </w:t>
      </w:r>
      <w:proofErr w:type="spellStart"/>
      <w:r>
        <w:rPr>
          <w:color w:val="404040"/>
          <w:sz w:val="23"/>
          <w:szCs w:val="23"/>
          <w:lang w:val="en-US"/>
        </w:rPr>
        <w:t>klasificiraju</w:t>
      </w:r>
      <w:proofErr w:type="spellEnd"/>
      <w:r>
        <w:rPr>
          <w:color w:val="404040"/>
          <w:sz w:val="23"/>
          <w:szCs w:val="23"/>
          <w:lang w:val="en-US"/>
        </w:rPr>
        <w:t xml:space="preserve"> </w:t>
      </w:r>
      <w:proofErr w:type="spellStart"/>
      <w:r>
        <w:rPr>
          <w:color w:val="404040"/>
          <w:sz w:val="23"/>
          <w:szCs w:val="23"/>
          <w:lang w:val="en-US"/>
        </w:rPr>
        <w:t>kao</w:t>
      </w:r>
      <w:proofErr w:type="spellEnd"/>
      <w:r>
        <w:rPr>
          <w:color w:val="404040"/>
          <w:sz w:val="23"/>
          <w:szCs w:val="23"/>
          <w:lang w:val="en-US"/>
        </w:rPr>
        <w:t xml:space="preserve"> </w:t>
      </w:r>
      <w:proofErr w:type="spellStart"/>
      <w:r>
        <w:rPr>
          <w:color w:val="404040"/>
          <w:sz w:val="23"/>
          <w:szCs w:val="23"/>
          <w:lang w:val="en-US"/>
        </w:rPr>
        <w:t>financijski</w:t>
      </w:r>
      <w:proofErr w:type="spellEnd"/>
      <w:r>
        <w:rPr>
          <w:color w:val="404040"/>
          <w:sz w:val="23"/>
          <w:szCs w:val="23"/>
          <w:lang w:val="en-US"/>
        </w:rPr>
        <w:t xml:space="preserve"> </w:t>
      </w:r>
      <w:proofErr w:type="spellStart"/>
      <w:r>
        <w:rPr>
          <w:color w:val="404040"/>
          <w:sz w:val="23"/>
          <w:szCs w:val="23"/>
          <w:lang w:val="en-US"/>
        </w:rPr>
        <w:t>ili</w:t>
      </w:r>
      <w:proofErr w:type="spellEnd"/>
      <w:r>
        <w:rPr>
          <w:color w:val="404040"/>
          <w:sz w:val="23"/>
          <w:szCs w:val="23"/>
          <w:lang w:val="en-US"/>
        </w:rPr>
        <w:t xml:space="preserve"> </w:t>
      </w:r>
      <w:proofErr w:type="spellStart"/>
      <w:r>
        <w:rPr>
          <w:color w:val="404040"/>
          <w:sz w:val="23"/>
          <w:szCs w:val="23"/>
          <w:lang w:val="en-US"/>
        </w:rPr>
        <w:t>operativni</w:t>
      </w:r>
      <w:proofErr w:type="spellEnd"/>
      <w:r>
        <w:rPr>
          <w:color w:val="404040"/>
          <w:sz w:val="23"/>
          <w:szCs w:val="23"/>
          <w:lang w:val="en-US"/>
        </w:rPr>
        <w:t xml:space="preserve">, </w:t>
      </w:r>
      <w:proofErr w:type="spellStart"/>
      <w:r>
        <w:rPr>
          <w:color w:val="404040"/>
          <w:sz w:val="23"/>
          <w:szCs w:val="23"/>
          <w:lang w:val="en-US"/>
        </w:rPr>
        <w:t>ovisno</w:t>
      </w:r>
      <w:proofErr w:type="spellEnd"/>
      <w:r>
        <w:rPr>
          <w:color w:val="404040"/>
          <w:sz w:val="23"/>
          <w:szCs w:val="23"/>
          <w:lang w:val="en-US"/>
        </w:rPr>
        <w:t xml:space="preserve"> o </w:t>
      </w:r>
      <w:proofErr w:type="spellStart"/>
      <w:r>
        <w:rPr>
          <w:color w:val="404040"/>
          <w:sz w:val="23"/>
          <w:szCs w:val="23"/>
          <w:lang w:val="en-US"/>
        </w:rPr>
        <w:t>prijenosu</w:t>
      </w:r>
      <w:proofErr w:type="spellEnd"/>
      <w:r>
        <w:rPr>
          <w:color w:val="404040"/>
          <w:sz w:val="23"/>
          <w:szCs w:val="23"/>
          <w:lang w:val="en-US"/>
        </w:rPr>
        <w:t xml:space="preserve"> </w:t>
      </w:r>
      <w:proofErr w:type="spellStart"/>
      <w:r>
        <w:rPr>
          <w:color w:val="404040"/>
          <w:sz w:val="23"/>
          <w:szCs w:val="23"/>
          <w:lang w:val="en-US"/>
        </w:rPr>
        <w:t>rizika</w:t>
      </w:r>
      <w:proofErr w:type="spellEnd"/>
      <w:r>
        <w:rPr>
          <w:color w:val="404040"/>
          <w:sz w:val="23"/>
          <w:szCs w:val="23"/>
          <w:lang w:val="en-US"/>
        </w:rPr>
        <w:t xml:space="preserve"> i </w:t>
      </w:r>
      <w:proofErr w:type="spellStart"/>
      <w:r>
        <w:rPr>
          <w:color w:val="404040"/>
          <w:sz w:val="23"/>
          <w:szCs w:val="23"/>
          <w:lang w:val="en-US"/>
        </w:rPr>
        <w:t>nagrada</w:t>
      </w:r>
      <w:proofErr w:type="spellEnd"/>
      <w:r>
        <w:rPr>
          <w:color w:val="404040"/>
          <w:sz w:val="23"/>
          <w:szCs w:val="23"/>
          <w:lang w:val="en-US"/>
        </w:rPr>
        <w:t xml:space="preserve"> </w:t>
      </w:r>
      <w:proofErr w:type="spellStart"/>
      <w:r>
        <w:rPr>
          <w:color w:val="404040"/>
          <w:sz w:val="23"/>
          <w:szCs w:val="23"/>
          <w:lang w:val="en-US"/>
        </w:rPr>
        <w:t>povezanih</w:t>
      </w:r>
      <w:proofErr w:type="spellEnd"/>
      <w:r>
        <w:rPr>
          <w:color w:val="404040"/>
          <w:sz w:val="23"/>
          <w:szCs w:val="23"/>
          <w:lang w:val="en-US"/>
        </w:rPr>
        <w:t xml:space="preserve"> s </w:t>
      </w:r>
      <w:proofErr w:type="spellStart"/>
      <w:r>
        <w:rPr>
          <w:color w:val="404040"/>
          <w:sz w:val="23"/>
          <w:szCs w:val="23"/>
          <w:lang w:val="en-US"/>
        </w:rPr>
        <w:t>vlasništvom</w:t>
      </w:r>
      <w:proofErr w:type="spellEnd"/>
      <w:r>
        <w:rPr>
          <w:color w:val="404040"/>
          <w:sz w:val="23"/>
          <w:szCs w:val="23"/>
          <w:lang w:val="en-US"/>
        </w:rPr>
        <w:t xml:space="preserve">. </w:t>
      </w:r>
      <w:proofErr w:type="spellStart"/>
      <w:r>
        <w:rPr>
          <w:color w:val="404040"/>
          <w:sz w:val="23"/>
          <w:szCs w:val="23"/>
          <w:lang w:val="en-US"/>
        </w:rPr>
        <w:t>Dijele</w:t>
      </w:r>
      <w:proofErr w:type="spellEnd"/>
      <w:r>
        <w:rPr>
          <w:color w:val="404040"/>
          <w:sz w:val="23"/>
          <w:szCs w:val="23"/>
          <w:lang w:val="en-US"/>
        </w:rPr>
        <w:t xml:space="preserve"> se </w:t>
      </w:r>
      <w:proofErr w:type="spellStart"/>
      <w:r>
        <w:rPr>
          <w:color w:val="404040"/>
          <w:sz w:val="23"/>
          <w:szCs w:val="23"/>
          <w:lang w:val="en-US"/>
        </w:rPr>
        <w:t>na</w:t>
      </w:r>
      <w:proofErr w:type="spellEnd"/>
      <w:r>
        <w:rPr>
          <w:color w:val="404040"/>
          <w:sz w:val="23"/>
          <w:szCs w:val="23"/>
          <w:lang w:val="en-US"/>
        </w:rPr>
        <w:t> </w:t>
      </w:r>
      <w:proofErr w:type="spellStart"/>
      <w:r>
        <w:rPr>
          <w:color w:val="404040"/>
          <w:sz w:val="23"/>
          <w:szCs w:val="23"/>
          <w:lang w:val="en-US"/>
        </w:rPr>
        <w:t>financijski</w:t>
      </w:r>
      <w:proofErr w:type="spellEnd"/>
      <w:r>
        <w:rPr>
          <w:color w:val="404040"/>
          <w:sz w:val="23"/>
          <w:szCs w:val="23"/>
          <w:lang w:val="en-US"/>
        </w:rPr>
        <w:t xml:space="preserve"> </w:t>
      </w:r>
      <w:proofErr w:type="spellStart"/>
      <w:r>
        <w:rPr>
          <w:color w:val="404040"/>
          <w:sz w:val="23"/>
          <w:szCs w:val="23"/>
          <w:lang w:val="en-US"/>
        </w:rPr>
        <w:t>najam</w:t>
      </w:r>
      <w:proofErr w:type="spellEnd"/>
      <w:r>
        <w:rPr>
          <w:color w:val="404040"/>
          <w:sz w:val="23"/>
          <w:szCs w:val="23"/>
          <w:lang w:val="en-US"/>
        </w:rPr>
        <w:t> i </w:t>
      </w:r>
      <w:proofErr w:type="spellStart"/>
      <w:r>
        <w:rPr>
          <w:color w:val="404040"/>
          <w:sz w:val="23"/>
          <w:szCs w:val="23"/>
          <w:lang w:val="en-US"/>
        </w:rPr>
        <w:t>operativni</w:t>
      </w:r>
      <w:proofErr w:type="spellEnd"/>
      <w:r>
        <w:rPr>
          <w:color w:val="404040"/>
          <w:sz w:val="23"/>
          <w:szCs w:val="23"/>
          <w:lang w:val="en-US"/>
        </w:rPr>
        <w:t xml:space="preserve"> </w:t>
      </w:r>
      <w:proofErr w:type="spellStart"/>
      <w:r>
        <w:rPr>
          <w:color w:val="404040"/>
          <w:sz w:val="23"/>
          <w:szCs w:val="23"/>
          <w:lang w:val="en-US"/>
        </w:rPr>
        <w:t>najam</w:t>
      </w:r>
      <w:proofErr w:type="spellEnd"/>
      <w:r>
        <w:rPr>
          <w:color w:val="404040"/>
          <w:sz w:val="23"/>
          <w:szCs w:val="23"/>
          <w:lang w:val="en-US"/>
        </w:rPr>
        <w:t xml:space="preserve">. </w:t>
      </w:r>
      <w:proofErr w:type="spellStart"/>
      <w:r>
        <w:rPr>
          <w:color w:val="404040"/>
          <w:sz w:val="23"/>
          <w:szCs w:val="23"/>
          <w:lang w:val="en-US"/>
        </w:rPr>
        <w:t>Kod</w:t>
      </w:r>
      <w:proofErr w:type="spellEnd"/>
      <w:r>
        <w:rPr>
          <w:color w:val="404040"/>
          <w:sz w:val="23"/>
          <w:szCs w:val="23"/>
          <w:lang w:val="en-US"/>
        </w:rPr>
        <w:t xml:space="preserve"> </w:t>
      </w:r>
      <w:proofErr w:type="spellStart"/>
      <w:r>
        <w:rPr>
          <w:color w:val="404040"/>
          <w:sz w:val="23"/>
          <w:szCs w:val="23"/>
          <w:lang w:val="en-US"/>
        </w:rPr>
        <w:t>financijskog</w:t>
      </w:r>
      <w:proofErr w:type="spellEnd"/>
      <w:r>
        <w:rPr>
          <w:color w:val="404040"/>
          <w:sz w:val="23"/>
          <w:szCs w:val="23"/>
          <w:lang w:val="en-US"/>
        </w:rPr>
        <w:t xml:space="preserve"> </w:t>
      </w:r>
      <w:proofErr w:type="spellStart"/>
      <w:r>
        <w:rPr>
          <w:color w:val="404040"/>
          <w:sz w:val="23"/>
          <w:szCs w:val="23"/>
          <w:lang w:val="en-US"/>
        </w:rPr>
        <w:t>najma</w:t>
      </w:r>
      <w:proofErr w:type="spellEnd"/>
      <w:r>
        <w:rPr>
          <w:color w:val="404040"/>
          <w:sz w:val="23"/>
          <w:szCs w:val="23"/>
          <w:lang w:val="en-US"/>
        </w:rPr>
        <w:t xml:space="preserve">, </w:t>
      </w:r>
      <w:proofErr w:type="spellStart"/>
      <w:r>
        <w:rPr>
          <w:color w:val="404040"/>
          <w:sz w:val="23"/>
          <w:szCs w:val="23"/>
          <w:lang w:val="en-US"/>
        </w:rPr>
        <w:t>svi</w:t>
      </w:r>
      <w:proofErr w:type="spellEnd"/>
      <w:r>
        <w:rPr>
          <w:color w:val="404040"/>
          <w:sz w:val="23"/>
          <w:szCs w:val="23"/>
          <w:lang w:val="en-US"/>
        </w:rPr>
        <w:t xml:space="preserve"> </w:t>
      </w:r>
      <w:proofErr w:type="spellStart"/>
      <w:r>
        <w:rPr>
          <w:color w:val="404040"/>
          <w:sz w:val="23"/>
          <w:szCs w:val="23"/>
          <w:lang w:val="en-US"/>
        </w:rPr>
        <w:t>značajni</w:t>
      </w:r>
      <w:proofErr w:type="spellEnd"/>
      <w:r>
        <w:rPr>
          <w:color w:val="404040"/>
          <w:sz w:val="23"/>
          <w:szCs w:val="23"/>
          <w:lang w:val="en-US"/>
        </w:rPr>
        <w:t xml:space="preserve"> </w:t>
      </w:r>
      <w:proofErr w:type="spellStart"/>
      <w:r>
        <w:rPr>
          <w:color w:val="404040"/>
          <w:sz w:val="23"/>
          <w:szCs w:val="23"/>
          <w:lang w:val="en-US"/>
        </w:rPr>
        <w:t>rizici</w:t>
      </w:r>
      <w:proofErr w:type="spellEnd"/>
      <w:r>
        <w:rPr>
          <w:color w:val="404040"/>
          <w:sz w:val="23"/>
          <w:szCs w:val="23"/>
          <w:lang w:val="en-US"/>
        </w:rPr>
        <w:t xml:space="preserve"> i </w:t>
      </w:r>
      <w:proofErr w:type="spellStart"/>
      <w:r>
        <w:rPr>
          <w:color w:val="404040"/>
          <w:sz w:val="23"/>
          <w:szCs w:val="23"/>
          <w:lang w:val="en-US"/>
        </w:rPr>
        <w:t>nagrade</w:t>
      </w:r>
      <w:proofErr w:type="spellEnd"/>
      <w:r>
        <w:rPr>
          <w:color w:val="404040"/>
          <w:sz w:val="23"/>
          <w:szCs w:val="23"/>
          <w:lang w:val="en-US"/>
        </w:rPr>
        <w:t xml:space="preserve"> </w:t>
      </w:r>
      <w:proofErr w:type="spellStart"/>
      <w:r>
        <w:rPr>
          <w:color w:val="404040"/>
          <w:sz w:val="23"/>
          <w:szCs w:val="23"/>
          <w:lang w:val="en-US"/>
        </w:rPr>
        <w:t>vlasništva</w:t>
      </w:r>
      <w:proofErr w:type="spellEnd"/>
      <w:r>
        <w:rPr>
          <w:color w:val="404040"/>
          <w:sz w:val="23"/>
          <w:szCs w:val="23"/>
          <w:lang w:val="en-US"/>
        </w:rPr>
        <w:t xml:space="preserve"> </w:t>
      </w:r>
      <w:proofErr w:type="spellStart"/>
      <w:r>
        <w:rPr>
          <w:color w:val="404040"/>
          <w:sz w:val="23"/>
          <w:szCs w:val="23"/>
          <w:lang w:val="en-US"/>
        </w:rPr>
        <w:t>prenose</w:t>
      </w:r>
      <w:proofErr w:type="spellEnd"/>
      <w:r>
        <w:rPr>
          <w:color w:val="404040"/>
          <w:sz w:val="23"/>
          <w:szCs w:val="23"/>
          <w:lang w:val="en-US"/>
        </w:rPr>
        <w:t xml:space="preserve"> se </w:t>
      </w:r>
      <w:proofErr w:type="spellStart"/>
      <w:r>
        <w:rPr>
          <w:color w:val="404040"/>
          <w:sz w:val="23"/>
          <w:szCs w:val="23"/>
          <w:lang w:val="en-US"/>
        </w:rPr>
        <w:t>na</w:t>
      </w:r>
      <w:proofErr w:type="spellEnd"/>
      <w:r>
        <w:rPr>
          <w:color w:val="404040"/>
          <w:sz w:val="23"/>
          <w:szCs w:val="23"/>
          <w:lang w:val="en-US"/>
        </w:rPr>
        <w:t xml:space="preserve"> </w:t>
      </w:r>
      <w:proofErr w:type="spellStart"/>
      <w:r>
        <w:rPr>
          <w:color w:val="404040"/>
          <w:sz w:val="23"/>
          <w:szCs w:val="23"/>
          <w:lang w:val="en-US"/>
        </w:rPr>
        <w:t>najmoprimca</w:t>
      </w:r>
      <w:proofErr w:type="spellEnd"/>
      <w:r>
        <w:rPr>
          <w:color w:val="404040"/>
          <w:sz w:val="23"/>
          <w:szCs w:val="23"/>
          <w:lang w:val="en-US"/>
        </w:rPr>
        <w:t xml:space="preserve">, koji </w:t>
      </w:r>
      <w:proofErr w:type="spellStart"/>
      <w:r>
        <w:rPr>
          <w:color w:val="404040"/>
          <w:sz w:val="23"/>
          <w:szCs w:val="23"/>
          <w:lang w:val="en-US"/>
        </w:rPr>
        <w:t>imovinu</w:t>
      </w:r>
      <w:proofErr w:type="spellEnd"/>
      <w:r>
        <w:rPr>
          <w:color w:val="404040"/>
          <w:sz w:val="23"/>
          <w:szCs w:val="23"/>
          <w:lang w:val="en-US"/>
        </w:rPr>
        <w:t xml:space="preserve"> </w:t>
      </w:r>
      <w:proofErr w:type="spellStart"/>
      <w:r>
        <w:rPr>
          <w:color w:val="404040"/>
          <w:sz w:val="23"/>
          <w:szCs w:val="23"/>
          <w:lang w:val="en-US"/>
        </w:rPr>
        <w:t>evidentira</w:t>
      </w:r>
      <w:proofErr w:type="spellEnd"/>
      <w:r>
        <w:rPr>
          <w:color w:val="404040"/>
          <w:sz w:val="23"/>
          <w:szCs w:val="23"/>
          <w:lang w:val="en-US"/>
        </w:rPr>
        <w:t xml:space="preserve"> u </w:t>
      </w:r>
      <w:proofErr w:type="spellStart"/>
      <w:r>
        <w:rPr>
          <w:color w:val="404040"/>
          <w:sz w:val="23"/>
          <w:szCs w:val="23"/>
          <w:lang w:val="en-US"/>
        </w:rPr>
        <w:t>bilanci</w:t>
      </w:r>
      <w:proofErr w:type="spellEnd"/>
      <w:r>
        <w:rPr>
          <w:color w:val="404040"/>
          <w:sz w:val="23"/>
          <w:szCs w:val="23"/>
          <w:lang w:val="en-US"/>
        </w:rPr>
        <w:t xml:space="preserve"> </w:t>
      </w:r>
      <w:proofErr w:type="spellStart"/>
      <w:r>
        <w:rPr>
          <w:color w:val="404040"/>
          <w:sz w:val="23"/>
          <w:szCs w:val="23"/>
          <w:lang w:val="en-US"/>
        </w:rPr>
        <w:t>kao</w:t>
      </w:r>
      <w:proofErr w:type="spellEnd"/>
      <w:r>
        <w:rPr>
          <w:color w:val="404040"/>
          <w:sz w:val="23"/>
          <w:szCs w:val="23"/>
          <w:lang w:val="en-US"/>
        </w:rPr>
        <w:t xml:space="preserve"> </w:t>
      </w:r>
      <w:proofErr w:type="spellStart"/>
      <w:r>
        <w:rPr>
          <w:color w:val="404040"/>
          <w:sz w:val="23"/>
          <w:szCs w:val="23"/>
          <w:lang w:val="en-US"/>
        </w:rPr>
        <w:t>imovinu</w:t>
      </w:r>
      <w:proofErr w:type="spellEnd"/>
      <w:r>
        <w:rPr>
          <w:color w:val="404040"/>
          <w:sz w:val="23"/>
          <w:szCs w:val="23"/>
          <w:lang w:val="en-US"/>
        </w:rPr>
        <w:t xml:space="preserve"> i </w:t>
      </w:r>
      <w:proofErr w:type="spellStart"/>
      <w:r>
        <w:rPr>
          <w:color w:val="404040"/>
          <w:sz w:val="23"/>
          <w:szCs w:val="23"/>
          <w:lang w:val="en-US"/>
        </w:rPr>
        <w:t>odgovarajuću</w:t>
      </w:r>
      <w:proofErr w:type="spellEnd"/>
      <w:r>
        <w:rPr>
          <w:color w:val="404040"/>
          <w:sz w:val="23"/>
          <w:szCs w:val="23"/>
          <w:lang w:val="en-US"/>
        </w:rPr>
        <w:t xml:space="preserve"> </w:t>
      </w:r>
      <w:proofErr w:type="spellStart"/>
      <w:r>
        <w:rPr>
          <w:color w:val="404040"/>
          <w:sz w:val="23"/>
          <w:szCs w:val="23"/>
          <w:lang w:val="en-US"/>
        </w:rPr>
        <w:t>obvezu</w:t>
      </w:r>
      <w:proofErr w:type="spellEnd"/>
      <w:r>
        <w:rPr>
          <w:color w:val="404040"/>
          <w:sz w:val="23"/>
          <w:szCs w:val="23"/>
          <w:lang w:val="en-US"/>
        </w:rPr>
        <w:t xml:space="preserve">. </w:t>
      </w:r>
      <w:proofErr w:type="spellStart"/>
      <w:r>
        <w:rPr>
          <w:color w:val="404040"/>
          <w:sz w:val="23"/>
          <w:szCs w:val="23"/>
          <w:lang w:val="en-US"/>
        </w:rPr>
        <w:t>Početna</w:t>
      </w:r>
      <w:proofErr w:type="spellEnd"/>
      <w:r>
        <w:rPr>
          <w:color w:val="404040"/>
          <w:sz w:val="23"/>
          <w:szCs w:val="23"/>
          <w:lang w:val="en-US"/>
        </w:rPr>
        <w:t xml:space="preserve"> </w:t>
      </w:r>
      <w:proofErr w:type="spellStart"/>
      <w:r>
        <w:rPr>
          <w:color w:val="404040"/>
          <w:sz w:val="23"/>
          <w:szCs w:val="23"/>
          <w:lang w:val="en-US"/>
        </w:rPr>
        <w:t>vrijednost</w:t>
      </w:r>
      <w:proofErr w:type="spellEnd"/>
      <w:r>
        <w:rPr>
          <w:color w:val="404040"/>
          <w:sz w:val="23"/>
          <w:szCs w:val="23"/>
          <w:lang w:val="en-US"/>
        </w:rPr>
        <w:t xml:space="preserve"> </w:t>
      </w:r>
      <w:proofErr w:type="spellStart"/>
      <w:r>
        <w:rPr>
          <w:color w:val="404040"/>
          <w:sz w:val="23"/>
          <w:szCs w:val="23"/>
          <w:lang w:val="en-US"/>
        </w:rPr>
        <w:t>imovine</w:t>
      </w:r>
      <w:proofErr w:type="spellEnd"/>
      <w:r>
        <w:rPr>
          <w:color w:val="404040"/>
          <w:sz w:val="23"/>
          <w:szCs w:val="23"/>
          <w:lang w:val="en-US"/>
        </w:rPr>
        <w:t xml:space="preserve"> </w:t>
      </w:r>
      <w:proofErr w:type="spellStart"/>
      <w:r>
        <w:rPr>
          <w:color w:val="404040"/>
          <w:sz w:val="23"/>
          <w:szCs w:val="23"/>
          <w:lang w:val="en-US"/>
        </w:rPr>
        <w:t>iznosi</w:t>
      </w:r>
      <w:proofErr w:type="spellEnd"/>
      <w:r>
        <w:rPr>
          <w:color w:val="404040"/>
          <w:sz w:val="23"/>
          <w:szCs w:val="23"/>
          <w:lang w:val="en-US"/>
        </w:rPr>
        <w:t xml:space="preserve"> fer </w:t>
      </w:r>
      <w:proofErr w:type="spellStart"/>
      <w:r>
        <w:rPr>
          <w:color w:val="404040"/>
          <w:sz w:val="23"/>
          <w:szCs w:val="23"/>
          <w:lang w:val="en-US"/>
        </w:rPr>
        <w:t>vrijednost</w:t>
      </w:r>
      <w:proofErr w:type="spellEnd"/>
      <w:r>
        <w:rPr>
          <w:color w:val="404040"/>
          <w:sz w:val="23"/>
          <w:szCs w:val="23"/>
          <w:lang w:val="en-US"/>
        </w:rPr>
        <w:t xml:space="preserve"> </w:t>
      </w:r>
      <w:proofErr w:type="spellStart"/>
      <w:r>
        <w:rPr>
          <w:color w:val="404040"/>
          <w:sz w:val="23"/>
          <w:szCs w:val="23"/>
          <w:lang w:val="en-US"/>
        </w:rPr>
        <w:t>ili</w:t>
      </w:r>
      <w:proofErr w:type="spellEnd"/>
      <w:r>
        <w:rPr>
          <w:color w:val="404040"/>
          <w:sz w:val="23"/>
          <w:szCs w:val="23"/>
          <w:lang w:val="en-US"/>
        </w:rPr>
        <w:t xml:space="preserve"> </w:t>
      </w:r>
      <w:proofErr w:type="spellStart"/>
      <w:r>
        <w:rPr>
          <w:color w:val="404040"/>
          <w:sz w:val="23"/>
          <w:szCs w:val="23"/>
          <w:lang w:val="en-US"/>
        </w:rPr>
        <w:t>sadašnju</w:t>
      </w:r>
      <w:proofErr w:type="spellEnd"/>
      <w:r>
        <w:rPr>
          <w:color w:val="404040"/>
          <w:sz w:val="23"/>
          <w:szCs w:val="23"/>
          <w:lang w:val="en-US"/>
        </w:rPr>
        <w:t xml:space="preserve"> </w:t>
      </w:r>
      <w:proofErr w:type="spellStart"/>
      <w:r>
        <w:rPr>
          <w:color w:val="404040"/>
          <w:sz w:val="23"/>
          <w:szCs w:val="23"/>
          <w:lang w:val="en-US"/>
        </w:rPr>
        <w:t>vrijednost</w:t>
      </w:r>
      <w:proofErr w:type="spellEnd"/>
      <w:r>
        <w:rPr>
          <w:color w:val="404040"/>
          <w:sz w:val="23"/>
          <w:szCs w:val="23"/>
          <w:lang w:val="en-US"/>
        </w:rPr>
        <w:t xml:space="preserve"> </w:t>
      </w:r>
      <w:proofErr w:type="spellStart"/>
      <w:r>
        <w:rPr>
          <w:color w:val="404040"/>
          <w:sz w:val="23"/>
          <w:szCs w:val="23"/>
          <w:lang w:val="en-US"/>
        </w:rPr>
        <w:t>minimalnih</w:t>
      </w:r>
      <w:proofErr w:type="spellEnd"/>
      <w:r>
        <w:rPr>
          <w:color w:val="404040"/>
          <w:sz w:val="23"/>
          <w:szCs w:val="23"/>
          <w:lang w:val="en-US"/>
        </w:rPr>
        <w:t xml:space="preserve"> </w:t>
      </w:r>
      <w:proofErr w:type="spellStart"/>
      <w:r>
        <w:rPr>
          <w:color w:val="404040"/>
          <w:sz w:val="23"/>
          <w:szCs w:val="23"/>
          <w:lang w:val="en-US"/>
        </w:rPr>
        <w:t>otplata</w:t>
      </w:r>
      <w:proofErr w:type="spellEnd"/>
      <w:r>
        <w:rPr>
          <w:color w:val="404040"/>
          <w:sz w:val="23"/>
          <w:szCs w:val="23"/>
          <w:lang w:val="en-US"/>
        </w:rPr>
        <w:t xml:space="preserve">, </w:t>
      </w:r>
      <w:proofErr w:type="spellStart"/>
      <w:r>
        <w:rPr>
          <w:color w:val="404040"/>
          <w:sz w:val="23"/>
          <w:szCs w:val="23"/>
          <w:lang w:val="en-US"/>
        </w:rPr>
        <w:t>uz</w:t>
      </w:r>
      <w:proofErr w:type="spellEnd"/>
      <w:r>
        <w:rPr>
          <w:color w:val="404040"/>
          <w:sz w:val="23"/>
          <w:szCs w:val="23"/>
          <w:lang w:val="en-US"/>
        </w:rPr>
        <w:t xml:space="preserve"> </w:t>
      </w:r>
      <w:proofErr w:type="spellStart"/>
      <w:r>
        <w:rPr>
          <w:color w:val="404040"/>
          <w:sz w:val="23"/>
          <w:szCs w:val="23"/>
          <w:lang w:val="en-US"/>
        </w:rPr>
        <w:t>primjenu</w:t>
      </w:r>
      <w:proofErr w:type="spellEnd"/>
      <w:r>
        <w:rPr>
          <w:color w:val="404040"/>
          <w:sz w:val="23"/>
          <w:szCs w:val="23"/>
          <w:lang w:val="en-US"/>
        </w:rPr>
        <w:t xml:space="preserve"> </w:t>
      </w:r>
      <w:proofErr w:type="spellStart"/>
      <w:r>
        <w:rPr>
          <w:color w:val="404040"/>
          <w:sz w:val="23"/>
          <w:szCs w:val="23"/>
          <w:lang w:val="en-US"/>
        </w:rPr>
        <w:t>diskontne</w:t>
      </w:r>
      <w:proofErr w:type="spellEnd"/>
      <w:r>
        <w:rPr>
          <w:color w:val="404040"/>
          <w:sz w:val="23"/>
          <w:szCs w:val="23"/>
          <w:lang w:val="en-US"/>
        </w:rPr>
        <w:t xml:space="preserve"> stope. </w:t>
      </w:r>
      <w:proofErr w:type="spellStart"/>
      <w:r>
        <w:rPr>
          <w:color w:val="404040"/>
          <w:sz w:val="23"/>
          <w:szCs w:val="23"/>
          <w:lang w:val="en-US"/>
        </w:rPr>
        <w:t>Financijski</w:t>
      </w:r>
      <w:proofErr w:type="spellEnd"/>
      <w:r>
        <w:rPr>
          <w:color w:val="404040"/>
          <w:sz w:val="23"/>
          <w:szCs w:val="23"/>
          <w:lang w:val="en-US"/>
        </w:rPr>
        <w:t xml:space="preserve"> </w:t>
      </w:r>
      <w:proofErr w:type="spellStart"/>
      <w:r>
        <w:rPr>
          <w:color w:val="404040"/>
          <w:sz w:val="23"/>
          <w:szCs w:val="23"/>
          <w:lang w:val="en-US"/>
        </w:rPr>
        <w:t>trošak</w:t>
      </w:r>
      <w:proofErr w:type="spellEnd"/>
      <w:r>
        <w:rPr>
          <w:color w:val="404040"/>
          <w:sz w:val="23"/>
          <w:szCs w:val="23"/>
          <w:lang w:val="en-US"/>
        </w:rPr>
        <w:t xml:space="preserve"> i </w:t>
      </w:r>
      <w:proofErr w:type="spellStart"/>
      <w:r>
        <w:rPr>
          <w:color w:val="404040"/>
          <w:sz w:val="23"/>
          <w:szCs w:val="23"/>
          <w:lang w:val="en-US"/>
        </w:rPr>
        <w:t>amortizacija</w:t>
      </w:r>
      <w:proofErr w:type="spellEnd"/>
      <w:r>
        <w:rPr>
          <w:color w:val="404040"/>
          <w:sz w:val="23"/>
          <w:szCs w:val="23"/>
          <w:lang w:val="en-US"/>
        </w:rPr>
        <w:t xml:space="preserve"> </w:t>
      </w:r>
      <w:proofErr w:type="spellStart"/>
      <w:r>
        <w:rPr>
          <w:color w:val="404040"/>
          <w:sz w:val="23"/>
          <w:szCs w:val="23"/>
          <w:lang w:val="en-US"/>
        </w:rPr>
        <w:t>priznaju</w:t>
      </w:r>
      <w:proofErr w:type="spellEnd"/>
      <w:r>
        <w:rPr>
          <w:color w:val="404040"/>
          <w:sz w:val="23"/>
          <w:szCs w:val="23"/>
          <w:lang w:val="en-US"/>
        </w:rPr>
        <w:t xml:space="preserve"> se </w:t>
      </w:r>
      <w:proofErr w:type="spellStart"/>
      <w:r>
        <w:rPr>
          <w:color w:val="404040"/>
          <w:sz w:val="23"/>
          <w:szCs w:val="23"/>
          <w:lang w:val="en-US"/>
        </w:rPr>
        <w:t>tijek</w:t>
      </w:r>
      <w:r>
        <w:rPr>
          <w:color w:val="404040"/>
          <w:sz w:val="23"/>
          <w:szCs w:val="23"/>
          <w:lang w:val="en-US"/>
        </w:rPr>
        <w:t>om</w:t>
      </w:r>
      <w:proofErr w:type="spellEnd"/>
      <w:r>
        <w:rPr>
          <w:color w:val="404040"/>
          <w:sz w:val="23"/>
          <w:szCs w:val="23"/>
          <w:lang w:val="en-US"/>
        </w:rPr>
        <w:t xml:space="preserve"> </w:t>
      </w:r>
      <w:proofErr w:type="spellStart"/>
      <w:r>
        <w:rPr>
          <w:color w:val="404040"/>
          <w:sz w:val="23"/>
          <w:szCs w:val="23"/>
          <w:lang w:val="en-US"/>
        </w:rPr>
        <w:t>trajanja</w:t>
      </w:r>
      <w:proofErr w:type="spellEnd"/>
      <w:r>
        <w:rPr>
          <w:color w:val="404040"/>
          <w:sz w:val="23"/>
          <w:szCs w:val="23"/>
          <w:lang w:val="en-US"/>
        </w:rPr>
        <w:t xml:space="preserve"> </w:t>
      </w:r>
      <w:proofErr w:type="spellStart"/>
      <w:r>
        <w:rPr>
          <w:color w:val="404040"/>
          <w:sz w:val="23"/>
          <w:szCs w:val="23"/>
          <w:lang w:val="en-US"/>
        </w:rPr>
        <w:t>najma</w:t>
      </w:r>
      <w:proofErr w:type="spellEnd"/>
      <w:r>
        <w:rPr>
          <w:color w:val="404040"/>
          <w:sz w:val="23"/>
          <w:szCs w:val="23"/>
          <w:lang w:val="en-US"/>
        </w:rPr>
        <w:t xml:space="preserve">, </w:t>
      </w:r>
      <w:proofErr w:type="spellStart"/>
      <w:r>
        <w:rPr>
          <w:color w:val="404040"/>
          <w:sz w:val="23"/>
          <w:szCs w:val="23"/>
          <w:lang w:val="en-US"/>
        </w:rPr>
        <w:t>dok</w:t>
      </w:r>
      <w:proofErr w:type="spellEnd"/>
      <w:r>
        <w:rPr>
          <w:color w:val="404040"/>
          <w:sz w:val="23"/>
          <w:szCs w:val="23"/>
          <w:lang w:val="en-US"/>
        </w:rPr>
        <w:t xml:space="preserve"> se </w:t>
      </w:r>
      <w:proofErr w:type="spellStart"/>
      <w:r>
        <w:rPr>
          <w:color w:val="404040"/>
          <w:sz w:val="23"/>
          <w:szCs w:val="23"/>
          <w:lang w:val="en-US"/>
        </w:rPr>
        <w:t>početni</w:t>
      </w:r>
      <w:proofErr w:type="spellEnd"/>
      <w:r>
        <w:rPr>
          <w:color w:val="404040"/>
          <w:sz w:val="23"/>
          <w:szCs w:val="23"/>
          <w:lang w:val="en-US"/>
        </w:rPr>
        <w:t xml:space="preserve"> </w:t>
      </w:r>
      <w:proofErr w:type="spellStart"/>
      <w:r>
        <w:rPr>
          <w:color w:val="404040"/>
          <w:sz w:val="23"/>
          <w:szCs w:val="23"/>
          <w:lang w:val="en-US"/>
        </w:rPr>
        <w:t>troškovi</w:t>
      </w:r>
      <w:proofErr w:type="spellEnd"/>
      <w:r>
        <w:rPr>
          <w:color w:val="404040"/>
          <w:sz w:val="23"/>
          <w:szCs w:val="23"/>
          <w:lang w:val="en-US"/>
        </w:rPr>
        <w:t xml:space="preserve"> </w:t>
      </w:r>
      <w:proofErr w:type="spellStart"/>
      <w:r>
        <w:rPr>
          <w:color w:val="404040"/>
          <w:sz w:val="23"/>
          <w:szCs w:val="23"/>
          <w:lang w:val="en-US"/>
        </w:rPr>
        <w:t>povezani</w:t>
      </w:r>
      <w:proofErr w:type="spellEnd"/>
      <w:r>
        <w:rPr>
          <w:color w:val="404040"/>
          <w:sz w:val="23"/>
          <w:szCs w:val="23"/>
          <w:lang w:val="en-US"/>
        </w:rPr>
        <w:t xml:space="preserve"> s </w:t>
      </w:r>
      <w:proofErr w:type="spellStart"/>
      <w:r>
        <w:rPr>
          <w:color w:val="404040"/>
          <w:sz w:val="23"/>
          <w:szCs w:val="23"/>
          <w:lang w:val="en-US"/>
        </w:rPr>
        <w:t>najmom</w:t>
      </w:r>
      <w:proofErr w:type="spellEnd"/>
      <w:r>
        <w:rPr>
          <w:color w:val="404040"/>
          <w:sz w:val="23"/>
          <w:szCs w:val="23"/>
          <w:lang w:val="en-US"/>
        </w:rPr>
        <w:t xml:space="preserve"> </w:t>
      </w:r>
      <w:proofErr w:type="spellStart"/>
      <w:r>
        <w:rPr>
          <w:color w:val="404040"/>
          <w:sz w:val="23"/>
          <w:szCs w:val="23"/>
          <w:lang w:val="en-US"/>
        </w:rPr>
        <w:t>dodaju</w:t>
      </w:r>
      <w:proofErr w:type="spellEnd"/>
      <w:r>
        <w:rPr>
          <w:color w:val="404040"/>
          <w:sz w:val="23"/>
          <w:szCs w:val="23"/>
          <w:lang w:val="en-US"/>
        </w:rPr>
        <w:t xml:space="preserve"> </w:t>
      </w:r>
      <w:proofErr w:type="spellStart"/>
      <w:r>
        <w:rPr>
          <w:color w:val="404040"/>
          <w:sz w:val="23"/>
          <w:szCs w:val="23"/>
          <w:lang w:val="en-US"/>
        </w:rPr>
        <w:t>vrijednosti</w:t>
      </w:r>
      <w:proofErr w:type="spellEnd"/>
      <w:r>
        <w:rPr>
          <w:color w:val="404040"/>
          <w:sz w:val="23"/>
          <w:szCs w:val="23"/>
          <w:lang w:val="en-US"/>
        </w:rPr>
        <w:t xml:space="preserve"> </w:t>
      </w:r>
      <w:proofErr w:type="spellStart"/>
      <w:r>
        <w:rPr>
          <w:color w:val="404040"/>
          <w:sz w:val="23"/>
          <w:szCs w:val="23"/>
          <w:lang w:val="en-US"/>
        </w:rPr>
        <w:t>imovine</w:t>
      </w:r>
      <w:proofErr w:type="spellEnd"/>
      <w:r>
        <w:rPr>
          <w:color w:val="404040"/>
          <w:sz w:val="23"/>
          <w:szCs w:val="23"/>
          <w:lang w:val="en-US"/>
        </w:rPr>
        <w:t xml:space="preserve">. </w:t>
      </w:r>
      <w:proofErr w:type="spellStart"/>
      <w:r>
        <w:rPr>
          <w:color w:val="404040"/>
          <w:sz w:val="23"/>
          <w:szCs w:val="23"/>
          <w:lang w:val="en-US"/>
        </w:rPr>
        <w:t>Kod</w:t>
      </w:r>
      <w:proofErr w:type="spellEnd"/>
      <w:r>
        <w:rPr>
          <w:color w:val="404040"/>
          <w:sz w:val="23"/>
          <w:szCs w:val="23"/>
          <w:lang w:val="en-US"/>
        </w:rPr>
        <w:t xml:space="preserve"> </w:t>
      </w:r>
      <w:proofErr w:type="spellStart"/>
      <w:r>
        <w:rPr>
          <w:color w:val="404040"/>
          <w:sz w:val="23"/>
          <w:szCs w:val="23"/>
          <w:lang w:val="en-US"/>
        </w:rPr>
        <w:t>operativnog</w:t>
      </w:r>
      <w:proofErr w:type="spellEnd"/>
      <w:r>
        <w:rPr>
          <w:color w:val="404040"/>
          <w:sz w:val="23"/>
          <w:szCs w:val="23"/>
          <w:lang w:val="en-US"/>
        </w:rPr>
        <w:t xml:space="preserve"> </w:t>
      </w:r>
      <w:proofErr w:type="spellStart"/>
      <w:r>
        <w:rPr>
          <w:color w:val="404040"/>
          <w:sz w:val="23"/>
          <w:szCs w:val="23"/>
          <w:lang w:val="en-US"/>
        </w:rPr>
        <w:t>najma</w:t>
      </w:r>
      <w:proofErr w:type="spellEnd"/>
      <w:r>
        <w:rPr>
          <w:color w:val="404040"/>
          <w:sz w:val="23"/>
          <w:szCs w:val="23"/>
          <w:lang w:val="en-US"/>
        </w:rPr>
        <w:t xml:space="preserve">, </w:t>
      </w:r>
      <w:proofErr w:type="spellStart"/>
      <w:r>
        <w:rPr>
          <w:color w:val="404040"/>
          <w:sz w:val="23"/>
          <w:szCs w:val="23"/>
          <w:lang w:val="en-US"/>
        </w:rPr>
        <w:t>rizici</w:t>
      </w:r>
      <w:proofErr w:type="spellEnd"/>
      <w:r>
        <w:rPr>
          <w:color w:val="404040"/>
          <w:sz w:val="23"/>
          <w:szCs w:val="23"/>
          <w:lang w:val="en-US"/>
        </w:rPr>
        <w:t xml:space="preserve"> i </w:t>
      </w:r>
      <w:proofErr w:type="spellStart"/>
      <w:r>
        <w:rPr>
          <w:color w:val="404040"/>
          <w:sz w:val="23"/>
          <w:szCs w:val="23"/>
          <w:lang w:val="en-US"/>
        </w:rPr>
        <w:t>nagrade</w:t>
      </w:r>
      <w:proofErr w:type="spellEnd"/>
      <w:r>
        <w:rPr>
          <w:color w:val="404040"/>
          <w:sz w:val="23"/>
          <w:szCs w:val="23"/>
          <w:lang w:val="en-US"/>
        </w:rPr>
        <w:t xml:space="preserve"> </w:t>
      </w:r>
      <w:proofErr w:type="spellStart"/>
      <w:r>
        <w:rPr>
          <w:color w:val="404040"/>
          <w:sz w:val="23"/>
          <w:szCs w:val="23"/>
          <w:lang w:val="en-US"/>
        </w:rPr>
        <w:t>ostaju</w:t>
      </w:r>
      <w:proofErr w:type="spellEnd"/>
      <w:r>
        <w:rPr>
          <w:color w:val="404040"/>
          <w:sz w:val="23"/>
          <w:szCs w:val="23"/>
          <w:lang w:val="en-US"/>
        </w:rPr>
        <w:t xml:space="preserve"> </w:t>
      </w:r>
      <w:proofErr w:type="spellStart"/>
      <w:r>
        <w:rPr>
          <w:color w:val="404040"/>
          <w:sz w:val="23"/>
          <w:szCs w:val="23"/>
          <w:lang w:val="en-US"/>
        </w:rPr>
        <w:t>kod</w:t>
      </w:r>
      <w:proofErr w:type="spellEnd"/>
      <w:r>
        <w:rPr>
          <w:color w:val="404040"/>
          <w:sz w:val="23"/>
          <w:szCs w:val="23"/>
          <w:lang w:val="en-US"/>
        </w:rPr>
        <w:t xml:space="preserve"> </w:t>
      </w:r>
      <w:proofErr w:type="spellStart"/>
      <w:r>
        <w:rPr>
          <w:color w:val="404040"/>
          <w:sz w:val="23"/>
          <w:szCs w:val="23"/>
          <w:lang w:val="en-US"/>
        </w:rPr>
        <w:t>najmodavca</w:t>
      </w:r>
      <w:proofErr w:type="spellEnd"/>
      <w:r>
        <w:rPr>
          <w:color w:val="404040"/>
          <w:sz w:val="23"/>
          <w:szCs w:val="23"/>
          <w:lang w:val="en-US"/>
        </w:rPr>
        <w:t xml:space="preserve">, a </w:t>
      </w:r>
      <w:proofErr w:type="spellStart"/>
      <w:r>
        <w:rPr>
          <w:color w:val="404040"/>
          <w:sz w:val="23"/>
          <w:szCs w:val="23"/>
          <w:lang w:val="en-US"/>
        </w:rPr>
        <w:t>najmoprimac</w:t>
      </w:r>
      <w:proofErr w:type="spellEnd"/>
      <w:r>
        <w:rPr>
          <w:color w:val="404040"/>
          <w:sz w:val="23"/>
          <w:szCs w:val="23"/>
          <w:lang w:val="en-US"/>
        </w:rPr>
        <w:t xml:space="preserve"> </w:t>
      </w:r>
      <w:proofErr w:type="spellStart"/>
      <w:r>
        <w:rPr>
          <w:color w:val="404040"/>
          <w:sz w:val="23"/>
          <w:szCs w:val="23"/>
          <w:lang w:val="en-US"/>
        </w:rPr>
        <w:t>evidentira</w:t>
      </w:r>
      <w:proofErr w:type="spellEnd"/>
      <w:r>
        <w:rPr>
          <w:color w:val="404040"/>
          <w:sz w:val="23"/>
          <w:szCs w:val="23"/>
          <w:lang w:val="en-US"/>
        </w:rPr>
        <w:t xml:space="preserve"> </w:t>
      </w:r>
      <w:proofErr w:type="spellStart"/>
      <w:r>
        <w:rPr>
          <w:color w:val="404040"/>
          <w:sz w:val="23"/>
          <w:szCs w:val="23"/>
          <w:lang w:val="en-US"/>
        </w:rPr>
        <w:t>plaćanja</w:t>
      </w:r>
      <w:proofErr w:type="spellEnd"/>
      <w:r>
        <w:rPr>
          <w:color w:val="404040"/>
          <w:sz w:val="23"/>
          <w:szCs w:val="23"/>
          <w:lang w:val="en-US"/>
        </w:rPr>
        <w:t xml:space="preserve"> </w:t>
      </w:r>
      <w:proofErr w:type="spellStart"/>
      <w:r>
        <w:rPr>
          <w:color w:val="404040"/>
          <w:sz w:val="23"/>
          <w:szCs w:val="23"/>
          <w:lang w:val="en-US"/>
        </w:rPr>
        <w:t>najma</w:t>
      </w:r>
      <w:proofErr w:type="spellEnd"/>
      <w:r>
        <w:rPr>
          <w:color w:val="404040"/>
          <w:sz w:val="23"/>
          <w:szCs w:val="23"/>
          <w:lang w:val="en-US"/>
        </w:rPr>
        <w:t xml:space="preserve"> </w:t>
      </w:r>
      <w:proofErr w:type="spellStart"/>
      <w:r>
        <w:rPr>
          <w:color w:val="404040"/>
          <w:sz w:val="23"/>
          <w:szCs w:val="23"/>
          <w:lang w:val="en-US"/>
        </w:rPr>
        <w:t>kao</w:t>
      </w:r>
      <w:proofErr w:type="spellEnd"/>
      <w:r>
        <w:rPr>
          <w:color w:val="404040"/>
          <w:sz w:val="23"/>
          <w:szCs w:val="23"/>
          <w:lang w:val="en-US"/>
        </w:rPr>
        <w:t xml:space="preserve"> </w:t>
      </w:r>
      <w:proofErr w:type="spellStart"/>
      <w:r>
        <w:rPr>
          <w:color w:val="404040"/>
          <w:sz w:val="23"/>
          <w:szCs w:val="23"/>
          <w:lang w:val="en-US"/>
        </w:rPr>
        <w:t>trošak</w:t>
      </w:r>
      <w:proofErr w:type="spellEnd"/>
      <w:r>
        <w:rPr>
          <w:color w:val="404040"/>
          <w:sz w:val="23"/>
          <w:szCs w:val="23"/>
          <w:lang w:val="en-US"/>
        </w:rPr>
        <w:t xml:space="preserve"> u </w:t>
      </w:r>
      <w:proofErr w:type="spellStart"/>
      <w:r>
        <w:rPr>
          <w:color w:val="404040"/>
          <w:sz w:val="23"/>
          <w:szCs w:val="23"/>
          <w:lang w:val="en-US"/>
        </w:rPr>
        <w:t>računu</w:t>
      </w:r>
      <w:proofErr w:type="spellEnd"/>
      <w:r>
        <w:rPr>
          <w:color w:val="404040"/>
          <w:sz w:val="23"/>
          <w:szCs w:val="23"/>
          <w:lang w:val="en-US"/>
        </w:rPr>
        <w:t xml:space="preserve"> </w:t>
      </w:r>
      <w:proofErr w:type="spellStart"/>
      <w:r>
        <w:rPr>
          <w:color w:val="404040"/>
          <w:sz w:val="23"/>
          <w:szCs w:val="23"/>
          <w:lang w:val="en-US"/>
        </w:rPr>
        <w:t>dobiti</w:t>
      </w:r>
      <w:proofErr w:type="spellEnd"/>
      <w:r>
        <w:rPr>
          <w:color w:val="404040"/>
          <w:sz w:val="23"/>
          <w:szCs w:val="23"/>
          <w:lang w:val="en-US"/>
        </w:rPr>
        <w:t xml:space="preserve"> i </w:t>
      </w:r>
      <w:proofErr w:type="spellStart"/>
      <w:r>
        <w:rPr>
          <w:color w:val="404040"/>
          <w:sz w:val="23"/>
          <w:szCs w:val="23"/>
          <w:lang w:val="en-US"/>
        </w:rPr>
        <w:t>gubitka</w:t>
      </w:r>
      <w:proofErr w:type="spellEnd"/>
      <w:r>
        <w:rPr>
          <w:color w:val="404040"/>
          <w:sz w:val="23"/>
          <w:szCs w:val="23"/>
          <w:lang w:val="en-US"/>
        </w:rPr>
        <w:t xml:space="preserve">, </w:t>
      </w:r>
      <w:proofErr w:type="spellStart"/>
      <w:r>
        <w:rPr>
          <w:color w:val="404040"/>
          <w:sz w:val="23"/>
          <w:szCs w:val="23"/>
          <w:lang w:val="en-US"/>
        </w:rPr>
        <w:t>koristeći</w:t>
      </w:r>
      <w:proofErr w:type="spellEnd"/>
      <w:r>
        <w:rPr>
          <w:color w:val="404040"/>
          <w:sz w:val="23"/>
          <w:szCs w:val="23"/>
          <w:lang w:val="en-US"/>
        </w:rPr>
        <w:t xml:space="preserve"> </w:t>
      </w:r>
      <w:proofErr w:type="spellStart"/>
      <w:r>
        <w:rPr>
          <w:color w:val="404040"/>
          <w:sz w:val="23"/>
          <w:szCs w:val="23"/>
          <w:lang w:val="en-US"/>
        </w:rPr>
        <w:t>pravocrtnu</w:t>
      </w:r>
      <w:proofErr w:type="spellEnd"/>
      <w:r>
        <w:rPr>
          <w:color w:val="404040"/>
          <w:sz w:val="23"/>
          <w:szCs w:val="23"/>
          <w:lang w:val="en-US"/>
        </w:rPr>
        <w:t xml:space="preserve"> </w:t>
      </w:r>
      <w:proofErr w:type="spellStart"/>
      <w:r>
        <w:rPr>
          <w:color w:val="404040"/>
          <w:sz w:val="23"/>
          <w:szCs w:val="23"/>
          <w:lang w:val="en-US"/>
        </w:rPr>
        <w:t>metodu</w:t>
      </w:r>
      <w:proofErr w:type="spellEnd"/>
      <w:r>
        <w:rPr>
          <w:color w:val="404040"/>
          <w:sz w:val="23"/>
          <w:szCs w:val="23"/>
          <w:lang w:val="en-US"/>
        </w:rPr>
        <w:t>.</w:t>
      </w:r>
    </w:p>
    <w:p w14:paraId="30546D6D" w14:textId="77777777" w:rsidR="00747201" w:rsidRDefault="00747201">
      <w:pPr>
        <w:pStyle w:val="Default"/>
        <w:spacing w:line="276" w:lineRule="auto"/>
        <w:jc w:val="both"/>
        <w:rPr>
          <w:color w:val="404040"/>
          <w:sz w:val="23"/>
          <w:szCs w:val="23"/>
        </w:rPr>
      </w:pPr>
    </w:p>
    <w:p w14:paraId="30546D6E" w14:textId="77777777" w:rsidR="00747201" w:rsidRDefault="00FC772B">
      <w:pPr>
        <w:pStyle w:val="Default"/>
        <w:spacing w:line="276" w:lineRule="auto"/>
        <w:ind w:left="708"/>
        <w:jc w:val="both"/>
        <w:rPr>
          <w:b/>
          <w:color w:val="404040"/>
          <w:sz w:val="23"/>
          <w:szCs w:val="23"/>
        </w:rPr>
      </w:pPr>
      <w:r>
        <w:rPr>
          <w:b/>
          <w:color w:val="404040"/>
          <w:sz w:val="23"/>
          <w:szCs w:val="23"/>
        </w:rPr>
        <w:t>Novac</w:t>
      </w:r>
    </w:p>
    <w:p w14:paraId="30546D6F" w14:textId="77777777" w:rsidR="00747201" w:rsidRDefault="00FC772B">
      <w:pPr>
        <w:pStyle w:val="Default"/>
        <w:spacing w:line="276" w:lineRule="auto"/>
        <w:jc w:val="both"/>
        <w:rPr>
          <w:color w:val="404040"/>
          <w:sz w:val="23"/>
          <w:szCs w:val="23"/>
          <w:lang w:val="en-US"/>
        </w:rPr>
      </w:pPr>
      <w:r>
        <w:rPr>
          <w:color w:val="404040"/>
          <w:sz w:val="23"/>
          <w:szCs w:val="23"/>
        </w:rPr>
        <w:tab/>
      </w:r>
      <w:r>
        <w:rPr>
          <w:color w:val="404040"/>
          <w:sz w:val="23"/>
          <w:szCs w:val="23"/>
          <w:lang w:val="en-US"/>
        </w:rPr>
        <w:t xml:space="preserve">Novac i </w:t>
      </w:r>
      <w:proofErr w:type="spellStart"/>
      <w:r>
        <w:rPr>
          <w:color w:val="404040"/>
          <w:sz w:val="23"/>
          <w:szCs w:val="23"/>
          <w:lang w:val="en-US"/>
        </w:rPr>
        <w:t>novčani</w:t>
      </w:r>
      <w:proofErr w:type="spellEnd"/>
      <w:r>
        <w:rPr>
          <w:color w:val="404040"/>
          <w:sz w:val="23"/>
          <w:szCs w:val="23"/>
          <w:lang w:val="en-US"/>
        </w:rPr>
        <w:t xml:space="preserve"> </w:t>
      </w:r>
      <w:proofErr w:type="spellStart"/>
      <w:r>
        <w:rPr>
          <w:color w:val="404040"/>
          <w:sz w:val="23"/>
          <w:szCs w:val="23"/>
          <w:lang w:val="en-US"/>
        </w:rPr>
        <w:t>ekvivalenti</w:t>
      </w:r>
      <w:proofErr w:type="spellEnd"/>
      <w:r>
        <w:rPr>
          <w:color w:val="404040"/>
          <w:sz w:val="23"/>
          <w:szCs w:val="23"/>
          <w:lang w:val="en-US"/>
        </w:rPr>
        <w:t xml:space="preserve"> </w:t>
      </w:r>
      <w:proofErr w:type="spellStart"/>
      <w:r>
        <w:rPr>
          <w:color w:val="404040"/>
          <w:sz w:val="23"/>
          <w:szCs w:val="23"/>
          <w:lang w:val="en-US"/>
        </w:rPr>
        <w:t>obuhvaćaju</w:t>
      </w:r>
      <w:proofErr w:type="spellEnd"/>
      <w:r>
        <w:rPr>
          <w:color w:val="404040"/>
          <w:sz w:val="23"/>
          <w:szCs w:val="23"/>
          <w:lang w:val="en-US"/>
        </w:rPr>
        <w:t xml:space="preserve"> </w:t>
      </w:r>
      <w:proofErr w:type="spellStart"/>
      <w:r>
        <w:rPr>
          <w:color w:val="404040"/>
          <w:sz w:val="23"/>
          <w:szCs w:val="23"/>
          <w:lang w:val="en-US"/>
        </w:rPr>
        <w:t>gotovinu</w:t>
      </w:r>
      <w:proofErr w:type="spellEnd"/>
      <w:r>
        <w:rPr>
          <w:color w:val="404040"/>
          <w:sz w:val="23"/>
          <w:szCs w:val="23"/>
          <w:lang w:val="en-US"/>
        </w:rPr>
        <w:t xml:space="preserve">, </w:t>
      </w:r>
      <w:proofErr w:type="spellStart"/>
      <w:r>
        <w:rPr>
          <w:color w:val="404040"/>
          <w:sz w:val="23"/>
          <w:szCs w:val="23"/>
          <w:lang w:val="en-US"/>
        </w:rPr>
        <w:t>depozite</w:t>
      </w:r>
      <w:proofErr w:type="spellEnd"/>
      <w:r>
        <w:rPr>
          <w:color w:val="404040"/>
          <w:sz w:val="23"/>
          <w:szCs w:val="23"/>
          <w:lang w:val="en-US"/>
        </w:rPr>
        <w:t xml:space="preserve"> po </w:t>
      </w:r>
      <w:proofErr w:type="spellStart"/>
      <w:r>
        <w:rPr>
          <w:color w:val="404040"/>
          <w:sz w:val="23"/>
          <w:szCs w:val="23"/>
          <w:lang w:val="en-US"/>
        </w:rPr>
        <w:t>viđenju</w:t>
      </w:r>
      <w:proofErr w:type="spellEnd"/>
      <w:r>
        <w:rPr>
          <w:color w:val="404040"/>
          <w:sz w:val="23"/>
          <w:szCs w:val="23"/>
          <w:lang w:val="en-US"/>
        </w:rPr>
        <w:t xml:space="preserve"> i </w:t>
      </w:r>
      <w:proofErr w:type="spellStart"/>
      <w:r>
        <w:rPr>
          <w:color w:val="404040"/>
          <w:sz w:val="23"/>
          <w:szCs w:val="23"/>
          <w:lang w:val="en-US"/>
        </w:rPr>
        <w:t>kratkoročna</w:t>
      </w:r>
      <w:proofErr w:type="spellEnd"/>
      <w:r>
        <w:rPr>
          <w:color w:val="404040"/>
          <w:sz w:val="23"/>
          <w:szCs w:val="23"/>
          <w:lang w:val="en-US"/>
        </w:rPr>
        <w:t xml:space="preserve"> </w:t>
      </w:r>
      <w:proofErr w:type="spellStart"/>
      <w:r>
        <w:rPr>
          <w:color w:val="404040"/>
          <w:sz w:val="23"/>
          <w:szCs w:val="23"/>
          <w:lang w:val="en-US"/>
        </w:rPr>
        <w:t>visoko</w:t>
      </w:r>
      <w:proofErr w:type="spellEnd"/>
      <w:r>
        <w:rPr>
          <w:color w:val="404040"/>
          <w:sz w:val="23"/>
          <w:szCs w:val="23"/>
          <w:lang w:val="en-US"/>
        </w:rPr>
        <w:t xml:space="preserve"> </w:t>
      </w:r>
      <w:proofErr w:type="spellStart"/>
      <w:r>
        <w:rPr>
          <w:color w:val="404040"/>
          <w:sz w:val="23"/>
          <w:szCs w:val="23"/>
          <w:lang w:val="en-US"/>
        </w:rPr>
        <w:t>likvidna</w:t>
      </w:r>
      <w:proofErr w:type="spellEnd"/>
      <w:r>
        <w:rPr>
          <w:color w:val="404040"/>
          <w:sz w:val="23"/>
          <w:szCs w:val="23"/>
          <w:lang w:val="en-US"/>
        </w:rPr>
        <w:t xml:space="preserve"> </w:t>
      </w:r>
      <w:proofErr w:type="spellStart"/>
      <w:r>
        <w:rPr>
          <w:color w:val="404040"/>
          <w:sz w:val="23"/>
          <w:szCs w:val="23"/>
          <w:lang w:val="en-US"/>
        </w:rPr>
        <w:t>ulaganja</w:t>
      </w:r>
      <w:proofErr w:type="spellEnd"/>
      <w:r>
        <w:rPr>
          <w:color w:val="404040"/>
          <w:sz w:val="23"/>
          <w:szCs w:val="23"/>
          <w:lang w:val="en-US"/>
        </w:rPr>
        <w:t xml:space="preserve"> </w:t>
      </w:r>
      <w:proofErr w:type="spellStart"/>
      <w:r>
        <w:rPr>
          <w:color w:val="404040"/>
          <w:sz w:val="23"/>
          <w:szCs w:val="23"/>
          <w:lang w:val="en-US"/>
        </w:rPr>
        <w:t>koja</w:t>
      </w:r>
      <w:proofErr w:type="spellEnd"/>
      <w:r>
        <w:rPr>
          <w:color w:val="404040"/>
          <w:sz w:val="23"/>
          <w:szCs w:val="23"/>
          <w:lang w:val="en-US"/>
        </w:rPr>
        <w:t xml:space="preserve"> se </w:t>
      </w:r>
      <w:proofErr w:type="spellStart"/>
      <w:r>
        <w:rPr>
          <w:color w:val="404040"/>
          <w:sz w:val="23"/>
          <w:szCs w:val="23"/>
          <w:lang w:val="en-US"/>
        </w:rPr>
        <w:t>lako</w:t>
      </w:r>
      <w:proofErr w:type="spellEnd"/>
      <w:r>
        <w:rPr>
          <w:color w:val="404040"/>
          <w:sz w:val="23"/>
          <w:szCs w:val="23"/>
          <w:lang w:val="en-US"/>
        </w:rPr>
        <w:t xml:space="preserve"> </w:t>
      </w:r>
      <w:proofErr w:type="spellStart"/>
      <w:r>
        <w:rPr>
          <w:color w:val="404040"/>
          <w:sz w:val="23"/>
          <w:szCs w:val="23"/>
          <w:lang w:val="en-US"/>
        </w:rPr>
        <w:t>pretvaraju</w:t>
      </w:r>
      <w:proofErr w:type="spellEnd"/>
      <w:r>
        <w:rPr>
          <w:color w:val="404040"/>
          <w:sz w:val="23"/>
          <w:szCs w:val="23"/>
          <w:lang w:val="en-US"/>
        </w:rPr>
        <w:t xml:space="preserve"> u </w:t>
      </w:r>
      <w:proofErr w:type="spellStart"/>
      <w:r>
        <w:rPr>
          <w:color w:val="404040"/>
          <w:sz w:val="23"/>
          <w:szCs w:val="23"/>
          <w:lang w:val="en-US"/>
        </w:rPr>
        <w:t>poznate</w:t>
      </w:r>
      <w:proofErr w:type="spellEnd"/>
      <w:r>
        <w:rPr>
          <w:color w:val="404040"/>
          <w:sz w:val="23"/>
          <w:szCs w:val="23"/>
          <w:lang w:val="en-US"/>
        </w:rPr>
        <w:t xml:space="preserve"> </w:t>
      </w:r>
      <w:proofErr w:type="spellStart"/>
      <w:r>
        <w:rPr>
          <w:color w:val="404040"/>
          <w:sz w:val="23"/>
          <w:szCs w:val="23"/>
          <w:lang w:val="en-US"/>
        </w:rPr>
        <w:t>iznose</w:t>
      </w:r>
      <w:proofErr w:type="spellEnd"/>
      <w:r>
        <w:rPr>
          <w:color w:val="404040"/>
          <w:sz w:val="23"/>
          <w:szCs w:val="23"/>
          <w:lang w:val="en-US"/>
        </w:rPr>
        <w:t xml:space="preserve"> </w:t>
      </w:r>
      <w:proofErr w:type="spellStart"/>
      <w:r>
        <w:rPr>
          <w:color w:val="404040"/>
          <w:sz w:val="23"/>
          <w:szCs w:val="23"/>
          <w:lang w:val="en-US"/>
        </w:rPr>
        <w:t>novca</w:t>
      </w:r>
      <w:proofErr w:type="spellEnd"/>
      <w:r>
        <w:rPr>
          <w:color w:val="404040"/>
          <w:sz w:val="23"/>
          <w:szCs w:val="23"/>
          <w:lang w:val="en-US"/>
        </w:rPr>
        <w:t xml:space="preserve"> s </w:t>
      </w:r>
      <w:proofErr w:type="spellStart"/>
      <w:r>
        <w:rPr>
          <w:color w:val="404040"/>
          <w:sz w:val="23"/>
          <w:szCs w:val="23"/>
          <w:lang w:val="en-US"/>
        </w:rPr>
        <w:t>prvobitnim</w:t>
      </w:r>
      <w:proofErr w:type="spellEnd"/>
      <w:r>
        <w:rPr>
          <w:color w:val="404040"/>
          <w:sz w:val="23"/>
          <w:szCs w:val="23"/>
          <w:lang w:val="en-US"/>
        </w:rPr>
        <w:t xml:space="preserve"> </w:t>
      </w:r>
      <w:proofErr w:type="spellStart"/>
      <w:r>
        <w:rPr>
          <w:color w:val="404040"/>
          <w:sz w:val="23"/>
          <w:szCs w:val="23"/>
          <w:lang w:val="en-US"/>
        </w:rPr>
        <w:t>dospijećima</w:t>
      </w:r>
      <w:proofErr w:type="spellEnd"/>
      <w:r>
        <w:rPr>
          <w:color w:val="404040"/>
          <w:sz w:val="23"/>
          <w:szCs w:val="23"/>
          <w:lang w:val="en-US"/>
        </w:rPr>
        <w:t xml:space="preserve"> od tri </w:t>
      </w:r>
      <w:proofErr w:type="spellStart"/>
      <w:r>
        <w:rPr>
          <w:color w:val="404040"/>
          <w:sz w:val="23"/>
          <w:szCs w:val="23"/>
          <w:lang w:val="en-US"/>
        </w:rPr>
        <w:t>mjeseca</w:t>
      </w:r>
      <w:proofErr w:type="spellEnd"/>
      <w:r>
        <w:rPr>
          <w:color w:val="404040"/>
          <w:sz w:val="23"/>
          <w:szCs w:val="23"/>
          <w:lang w:val="en-US"/>
        </w:rPr>
        <w:t xml:space="preserve"> </w:t>
      </w:r>
      <w:proofErr w:type="spellStart"/>
      <w:r>
        <w:rPr>
          <w:color w:val="404040"/>
          <w:sz w:val="23"/>
          <w:szCs w:val="23"/>
          <w:lang w:val="en-US"/>
        </w:rPr>
        <w:t>ili</w:t>
      </w:r>
      <w:proofErr w:type="spellEnd"/>
      <w:r>
        <w:rPr>
          <w:color w:val="404040"/>
          <w:sz w:val="23"/>
          <w:szCs w:val="23"/>
          <w:lang w:val="en-US"/>
        </w:rPr>
        <w:t xml:space="preserve"> </w:t>
      </w:r>
      <w:proofErr w:type="spellStart"/>
      <w:r>
        <w:rPr>
          <w:color w:val="404040"/>
          <w:sz w:val="23"/>
          <w:szCs w:val="23"/>
          <w:lang w:val="en-US"/>
        </w:rPr>
        <w:t>manje</w:t>
      </w:r>
      <w:proofErr w:type="spellEnd"/>
      <w:r>
        <w:rPr>
          <w:color w:val="404040"/>
          <w:sz w:val="23"/>
          <w:szCs w:val="23"/>
          <w:lang w:val="en-US"/>
        </w:rPr>
        <w:t xml:space="preserve"> i </w:t>
      </w:r>
      <w:proofErr w:type="spellStart"/>
      <w:r>
        <w:rPr>
          <w:color w:val="404040"/>
          <w:sz w:val="23"/>
          <w:szCs w:val="23"/>
          <w:lang w:val="en-US"/>
        </w:rPr>
        <w:t>koja</w:t>
      </w:r>
      <w:proofErr w:type="spellEnd"/>
      <w:r>
        <w:rPr>
          <w:color w:val="404040"/>
          <w:sz w:val="23"/>
          <w:szCs w:val="23"/>
          <w:lang w:val="en-US"/>
        </w:rPr>
        <w:t xml:space="preserve"> </w:t>
      </w:r>
      <w:proofErr w:type="spellStart"/>
      <w:r>
        <w:rPr>
          <w:color w:val="404040"/>
          <w:sz w:val="23"/>
          <w:szCs w:val="23"/>
          <w:lang w:val="en-US"/>
        </w:rPr>
        <w:t>podliježu</w:t>
      </w:r>
      <w:proofErr w:type="spellEnd"/>
      <w:r>
        <w:rPr>
          <w:color w:val="404040"/>
          <w:sz w:val="23"/>
          <w:szCs w:val="23"/>
          <w:lang w:val="en-US"/>
        </w:rPr>
        <w:t xml:space="preserve"> </w:t>
      </w:r>
      <w:proofErr w:type="spellStart"/>
      <w:r>
        <w:rPr>
          <w:color w:val="404040"/>
          <w:sz w:val="23"/>
          <w:szCs w:val="23"/>
          <w:lang w:val="en-US"/>
        </w:rPr>
        <w:t>neznatnom</w:t>
      </w:r>
      <w:proofErr w:type="spellEnd"/>
      <w:r>
        <w:rPr>
          <w:color w:val="404040"/>
          <w:sz w:val="23"/>
          <w:szCs w:val="23"/>
          <w:lang w:val="en-US"/>
        </w:rPr>
        <w:t xml:space="preserve"> </w:t>
      </w:r>
      <w:proofErr w:type="spellStart"/>
      <w:r>
        <w:rPr>
          <w:color w:val="404040"/>
          <w:sz w:val="23"/>
          <w:szCs w:val="23"/>
          <w:lang w:val="en-US"/>
        </w:rPr>
        <w:t>riziku</w:t>
      </w:r>
      <w:proofErr w:type="spellEnd"/>
      <w:r>
        <w:rPr>
          <w:color w:val="404040"/>
          <w:sz w:val="23"/>
          <w:szCs w:val="23"/>
          <w:lang w:val="en-US"/>
        </w:rPr>
        <w:t xml:space="preserve"> </w:t>
      </w:r>
      <w:proofErr w:type="spellStart"/>
      <w:r>
        <w:rPr>
          <w:color w:val="404040"/>
          <w:sz w:val="23"/>
          <w:szCs w:val="23"/>
          <w:lang w:val="en-US"/>
        </w:rPr>
        <w:t>promjene</w:t>
      </w:r>
      <w:proofErr w:type="spellEnd"/>
      <w:r>
        <w:rPr>
          <w:color w:val="404040"/>
          <w:sz w:val="23"/>
          <w:szCs w:val="23"/>
          <w:lang w:val="en-US"/>
        </w:rPr>
        <w:t xml:space="preserve"> </w:t>
      </w:r>
      <w:proofErr w:type="spellStart"/>
      <w:r>
        <w:rPr>
          <w:color w:val="404040"/>
          <w:sz w:val="23"/>
          <w:szCs w:val="23"/>
          <w:lang w:val="en-US"/>
        </w:rPr>
        <w:t>vrijednosti</w:t>
      </w:r>
      <w:proofErr w:type="spellEnd"/>
      <w:r>
        <w:rPr>
          <w:color w:val="404040"/>
          <w:sz w:val="23"/>
          <w:szCs w:val="23"/>
          <w:lang w:val="en-US"/>
        </w:rPr>
        <w:t>.</w:t>
      </w:r>
    </w:p>
    <w:p w14:paraId="30546D70" w14:textId="77777777" w:rsidR="00747201" w:rsidRDefault="00747201">
      <w:pPr>
        <w:pStyle w:val="Default"/>
        <w:spacing w:line="276" w:lineRule="auto"/>
        <w:jc w:val="both"/>
        <w:rPr>
          <w:color w:val="404040"/>
          <w:sz w:val="23"/>
          <w:szCs w:val="23"/>
          <w:lang w:val="en-US"/>
        </w:rPr>
      </w:pPr>
    </w:p>
    <w:p w14:paraId="30546D71" w14:textId="77777777" w:rsidR="00747201" w:rsidRDefault="00FC772B">
      <w:pPr>
        <w:pStyle w:val="Default"/>
        <w:spacing w:line="276" w:lineRule="auto"/>
        <w:rPr>
          <w:color w:val="404040"/>
          <w:sz w:val="23"/>
          <w:szCs w:val="23"/>
          <w:lang w:val="en-US"/>
        </w:rPr>
      </w:pPr>
      <w:r>
        <w:rPr>
          <w:b/>
          <w:bCs/>
          <w:color w:val="404040"/>
          <w:sz w:val="23"/>
          <w:szCs w:val="23"/>
          <w:lang w:val="en-US"/>
        </w:rPr>
        <w:tab/>
        <w:t xml:space="preserve">Kapital i </w:t>
      </w:r>
      <w:proofErr w:type="spellStart"/>
      <w:r>
        <w:rPr>
          <w:b/>
          <w:bCs/>
          <w:color w:val="404040"/>
          <w:sz w:val="23"/>
          <w:szCs w:val="23"/>
          <w:lang w:val="en-US"/>
        </w:rPr>
        <w:t>rezerve</w:t>
      </w:r>
      <w:proofErr w:type="spellEnd"/>
      <w:r>
        <w:rPr>
          <w:color w:val="404040"/>
          <w:sz w:val="23"/>
          <w:szCs w:val="23"/>
          <w:lang w:val="en-US"/>
        </w:rPr>
        <w:br/>
      </w:r>
      <w:r>
        <w:rPr>
          <w:color w:val="404040"/>
          <w:sz w:val="23"/>
          <w:szCs w:val="23"/>
          <w:lang w:val="en-US"/>
        </w:rPr>
        <w:tab/>
        <w:t xml:space="preserve">Kapital </w:t>
      </w:r>
      <w:proofErr w:type="spellStart"/>
      <w:r>
        <w:rPr>
          <w:color w:val="404040"/>
          <w:sz w:val="23"/>
          <w:szCs w:val="23"/>
          <w:lang w:val="en-US"/>
        </w:rPr>
        <w:t>društva</w:t>
      </w:r>
      <w:proofErr w:type="spellEnd"/>
      <w:r>
        <w:rPr>
          <w:color w:val="404040"/>
          <w:sz w:val="23"/>
          <w:szCs w:val="23"/>
          <w:lang w:val="en-US"/>
        </w:rPr>
        <w:t xml:space="preserve"> </w:t>
      </w:r>
      <w:proofErr w:type="spellStart"/>
      <w:r>
        <w:rPr>
          <w:color w:val="404040"/>
          <w:sz w:val="23"/>
          <w:szCs w:val="23"/>
          <w:lang w:val="en-US"/>
        </w:rPr>
        <w:t>sastoji</w:t>
      </w:r>
      <w:proofErr w:type="spellEnd"/>
      <w:r>
        <w:rPr>
          <w:color w:val="404040"/>
          <w:sz w:val="23"/>
          <w:szCs w:val="23"/>
          <w:lang w:val="en-US"/>
        </w:rPr>
        <w:t xml:space="preserve"> se od </w:t>
      </w:r>
      <w:proofErr w:type="spellStart"/>
      <w:r>
        <w:rPr>
          <w:color w:val="404040"/>
          <w:sz w:val="23"/>
          <w:szCs w:val="23"/>
          <w:lang w:val="en-US"/>
        </w:rPr>
        <w:t>upisanog</w:t>
      </w:r>
      <w:proofErr w:type="spellEnd"/>
      <w:r>
        <w:rPr>
          <w:color w:val="404040"/>
          <w:sz w:val="23"/>
          <w:szCs w:val="23"/>
          <w:lang w:val="en-US"/>
        </w:rPr>
        <w:t xml:space="preserve"> </w:t>
      </w:r>
      <w:proofErr w:type="spellStart"/>
      <w:r>
        <w:rPr>
          <w:color w:val="404040"/>
          <w:sz w:val="23"/>
          <w:szCs w:val="23"/>
          <w:lang w:val="en-US"/>
        </w:rPr>
        <w:t>kapitala</w:t>
      </w:r>
      <w:proofErr w:type="spellEnd"/>
      <w:r>
        <w:rPr>
          <w:color w:val="404040"/>
          <w:sz w:val="23"/>
          <w:szCs w:val="23"/>
          <w:lang w:val="en-US"/>
        </w:rPr>
        <w:t xml:space="preserve">, koji </w:t>
      </w:r>
      <w:proofErr w:type="spellStart"/>
      <w:r>
        <w:rPr>
          <w:color w:val="404040"/>
          <w:sz w:val="23"/>
          <w:szCs w:val="23"/>
          <w:lang w:val="en-US"/>
        </w:rPr>
        <w:t>predstavlja</w:t>
      </w:r>
      <w:proofErr w:type="spellEnd"/>
      <w:r>
        <w:rPr>
          <w:color w:val="404040"/>
          <w:sz w:val="23"/>
          <w:szCs w:val="23"/>
          <w:lang w:val="en-US"/>
        </w:rPr>
        <w:t xml:space="preserve"> </w:t>
      </w:r>
      <w:proofErr w:type="spellStart"/>
      <w:r>
        <w:rPr>
          <w:color w:val="404040"/>
          <w:sz w:val="23"/>
          <w:szCs w:val="23"/>
          <w:lang w:val="en-US"/>
        </w:rPr>
        <w:t>vrijednost</w:t>
      </w:r>
      <w:proofErr w:type="spellEnd"/>
      <w:r>
        <w:rPr>
          <w:color w:val="404040"/>
          <w:sz w:val="23"/>
          <w:szCs w:val="23"/>
          <w:lang w:val="en-US"/>
        </w:rPr>
        <w:t xml:space="preserve"> </w:t>
      </w:r>
      <w:proofErr w:type="spellStart"/>
      <w:r>
        <w:rPr>
          <w:color w:val="404040"/>
          <w:sz w:val="23"/>
          <w:szCs w:val="23"/>
          <w:lang w:val="en-US"/>
        </w:rPr>
        <w:t>unosa</w:t>
      </w:r>
      <w:proofErr w:type="spellEnd"/>
      <w:r>
        <w:rPr>
          <w:color w:val="404040"/>
          <w:sz w:val="23"/>
          <w:szCs w:val="23"/>
          <w:lang w:val="en-US"/>
        </w:rPr>
        <w:t xml:space="preserve"> </w:t>
      </w:r>
      <w:proofErr w:type="spellStart"/>
      <w:r>
        <w:rPr>
          <w:color w:val="404040"/>
          <w:sz w:val="23"/>
          <w:szCs w:val="23"/>
          <w:lang w:val="en-US"/>
        </w:rPr>
        <w:t>ulagača</w:t>
      </w:r>
      <w:proofErr w:type="spellEnd"/>
      <w:r>
        <w:rPr>
          <w:color w:val="404040"/>
          <w:sz w:val="23"/>
          <w:szCs w:val="23"/>
          <w:lang w:val="en-US"/>
        </w:rPr>
        <w:t xml:space="preserve"> </w:t>
      </w:r>
      <w:proofErr w:type="spellStart"/>
      <w:r>
        <w:rPr>
          <w:color w:val="404040"/>
          <w:sz w:val="23"/>
          <w:szCs w:val="23"/>
          <w:lang w:val="en-US"/>
        </w:rPr>
        <w:t>registriranu</w:t>
      </w:r>
      <w:proofErr w:type="spellEnd"/>
      <w:r>
        <w:rPr>
          <w:color w:val="404040"/>
          <w:sz w:val="23"/>
          <w:szCs w:val="23"/>
          <w:lang w:val="en-US"/>
        </w:rPr>
        <w:t xml:space="preserve"> </w:t>
      </w:r>
      <w:proofErr w:type="spellStart"/>
      <w:r>
        <w:rPr>
          <w:color w:val="404040"/>
          <w:sz w:val="23"/>
          <w:szCs w:val="23"/>
          <w:lang w:val="en-US"/>
        </w:rPr>
        <w:t>na</w:t>
      </w:r>
      <w:proofErr w:type="spellEnd"/>
      <w:r>
        <w:rPr>
          <w:color w:val="404040"/>
          <w:sz w:val="23"/>
          <w:szCs w:val="23"/>
          <w:lang w:val="en-US"/>
        </w:rPr>
        <w:t xml:space="preserve"> </w:t>
      </w:r>
      <w:proofErr w:type="spellStart"/>
      <w:r>
        <w:rPr>
          <w:color w:val="404040"/>
          <w:sz w:val="23"/>
          <w:szCs w:val="23"/>
          <w:lang w:val="en-US"/>
        </w:rPr>
        <w:t>sudu</w:t>
      </w:r>
      <w:proofErr w:type="spellEnd"/>
      <w:r>
        <w:rPr>
          <w:color w:val="404040"/>
          <w:sz w:val="23"/>
          <w:szCs w:val="23"/>
          <w:lang w:val="en-US"/>
        </w:rPr>
        <w:t xml:space="preserve">, </w:t>
      </w:r>
      <w:proofErr w:type="spellStart"/>
      <w:r>
        <w:rPr>
          <w:color w:val="404040"/>
          <w:sz w:val="23"/>
          <w:szCs w:val="23"/>
          <w:lang w:val="en-US"/>
        </w:rPr>
        <w:t>te</w:t>
      </w:r>
      <w:proofErr w:type="spellEnd"/>
      <w:r>
        <w:rPr>
          <w:color w:val="404040"/>
          <w:sz w:val="23"/>
          <w:szCs w:val="23"/>
          <w:lang w:val="en-US"/>
        </w:rPr>
        <w:t xml:space="preserve"> </w:t>
      </w:r>
      <w:proofErr w:type="spellStart"/>
      <w:r>
        <w:rPr>
          <w:color w:val="404040"/>
          <w:sz w:val="23"/>
          <w:szCs w:val="23"/>
          <w:lang w:val="en-US"/>
        </w:rPr>
        <w:t>kapitalnih</w:t>
      </w:r>
      <w:proofErr w:type="spellEnd"/>
      <w:r>
        <w:rPr>
          <w:color w:val="404040"/>
          <w:sz w:val="23"/>
          <w:szCs w:val="23"/>
          <w:lang w:val="en-US"/>
        </w:rPr>
        <w:t xml:space="preserve"> </w:t>
      </w:r>
      <w:proofErr w:type="spellStart"/>
      <w:r>
        <w:rPr>
          <w:color w:val="404040"/>
          <w:sz w:val="23"/>
          <w:szCs w:val="23"/>
          <w:lang w:val="en-US"/>
        </w:rPr>
        <w:t>rezervi</w:t>
      </w:r>
      <w:proofErr w:type="spellEnd"/>
      <w:r>
        <w:rPr>
          <w:color w:val="404040"/>
          <w:sz w:val="23"/>
          <w:szCs w:val="23"/>
          <w:lang w:val="en-US"/>
        </w:rPr>
        <w:t xml:space="preserve">, </w:t>
      </w:r>
      <w:proofErr w:type="spellStart"/>
      <w:r>
        <w:rPr>
          <w:color w:val="404040"/>
          <w:sz w:val="23"/>
          <w:szCs w:val="23"/>
          <w:lang w:val="en-US"/>
        </w:rPr>
        <w:t>koje</w:t>
      </w:r>
      <w:proofErr w:type="spellEnd"/>
      <w:r>
        <w:rPr>
          <w:color w:val="404040"/>
          <w:sz w:val="23"/>
          <w:szCs w:val="23"/>
          <w:lang w:val="en-US"/>
        </w:rPr>
        <w:t xml:space="preserve"> </w:t>
      </w:r>
      <w:proofErr w:type="spellStart"/>
      <w:r>
        <w:rPr>
          <w:color w:val="404040"/>
          <w:sz w:val="23"/>
          <w:szCs w:val="23"/>
          <w:lang w:val="en-US"/>
        </w:rPr>
        <w:t>nastaju</w:t>
      </w:r>
      <w:proofErr w:type="spellEnd"/>
      <w:r>
        <w:rPr>
          <w:color w:val="404040"/>
          <w:sz w:val="23"/>
          <w:szCs w:val="23"/>
          <w:lang w:val="en-US"/>
        </w:rPr>
        <w:t xml:space="preserve"> </w:t>
      </w:r>
      <w:proofErr w:type="spellStart"/>
      <w:r>
        <w:rPr>
          <w:color w:val="404040"/>
          <w:sz w:val="23"/>
          <w:szCs w:val="23"/>
          <w:lang w:val="en-US"/>
        </w:rPr>
        <w:t>izdavanjem</w:t>
      </w:r>
      <w:proofErr w:type="spellEnd"/>
      <w:r>
        <w:rPr>
          <w:color w:val="404040"/>
          <w:sz w:val="23"/>
          <w:szCs w:val="23"/>
          <w:lang w:val="en-US"/>
        </w:rPr>
        <w:t xml:space="preserve"> </w:t>
      </w:r>
      <w:proofErr w:type="spellStart"/>
      <w:r>
        <w:rPr>
          <w:color w:val="404040"/>
          <w:sz w:val="23"/>
          <w:szCs w:val="23"/>
          <w:lang w:val="en-US"/>
        </w:rPr>
        <w:t>dionica</w:t>
      </w:r>
      <w:proofErr w:type="spellEnd"/>
      <w:r>
        <w:rPr>
          <w:color w:val="404040"/>
          <w:sz w:val="23"/>
          <w:szCs w:val="23"/>
          <w:lang w:val="en-US"/>
        </w:rPr>
        <w:t xml:space="preserve"> </w:t>
      </w:r>
      <w:proofErr w:type="spellStart"/>
      <w:r>
        <w:rPr>
          <w:color w:val="404040"/>
          <w:sz w:val="23"/>
          <w:szCs w:val="23"/>
          <w:lang w:val="en-US"/>
        </w:rPr>
        <w:t>iznad</w:t>
      </w:r>
      <w:proofErr w:type="spellEnd"/>
      <w:r>
        <w:rPr>
          <w:color w:val="404040"/>
          <w:sz w:val="23"/>
          <w:szCs w:val="23"/>
          <w:lang w:val="en-US"/>
        </w:rPr>
        <w:t xml:space="preserve"> </w:t>
      </w:r>
      <w:proofErr w:type="spellStart"/>
      <w:r>
        <w:rPr>
          <w:color w:val="404040"/>
          <w:sz w:val="23"/>
          <w:szCs w:val="23"/>
          <w:lang w:val="en-US"/>
        </w:rPr>
        <w:t>nominalne</w:t>
      </w:r>
      <w:proofErr w:type="spellEnd"/>
      <w:r>
        <w:rPr>
          <w:color w:val="404040"/>
          <w:sz w:val="23"/>
          <w:szCs w:val="23"/>
          <w:lang w:val="en-US"/>
        </w:rPr>
        <w:t xml:space="preserve"> </w:t>
      </w:r>
      <w:proofErr w:type="spellStart"/>
      <w:r>
        <w:rPr>
          <w:color w:val="404040"/>
          <w:sz w:val="23"/>
          <w:szCs w:val="23"/>
          <w:lang w:val="en-US"/>
        </w:rPr>
        <w:t>vrijednosti</w:t>
      </w:r>
      <w:proofErr w:type="spellEnd"/>
      <w:r>
        <w:rPr>
          <w:color w:val="404040"/>
          <w:sz w:val="23"/>
          <w:szCs w:val="23"/>
          <w:lang w:val="en-US"/>
        </w:rPr>
        <w:t xml:space="preserve">, </w:t>
      </w:r>
      <w:proofErr w:type="spellStart"/>
      <w:r>
        <w:rPr>
          <w:color w:val="404040"/>
          <w:sz w:val="23"/>
          <w:szCs w:val="23"/>
          <w:lang w:val="en-US"/>
        </w:rPr>
        <w:t>dodatnim</w:t>
      </w:r>
      <w:proofErr w:type="spellEnd"/>
      <w:r>
        <w:rPr>
          <w:color w:val="404040"/>
          <w:sz w:val="23"/>
          <w:szCs w:val="23"/>
          <w:lang w:val="en-US"/>
        </w:rPr>
        <w:t xml:space="preserve"> </w:t>
      </w:r>
      <w:proofErr w:type="spellStart"/>
      <w:r>
        <w:rPr>
          <w:color w:val="404040"/>
          <w:sz w:val="23"/>
          <w:szCs w:val="23"/>
          <w:lang w:val="en-US"/>
        </w:rPr>
        <w:t>uplatama</w:t>
      </w:r>
      <w:proofErr w:type="spellEnd"/>
      <w:r>
        <w:rPr>
          <w:color w:val="404040"/>
          <w:sz w:val="23"/>
          <w:szCs w:val="23"/>
          <w:lang w:val="en-US"/>
        </w:rPr>
        <w:t xml:space="preserve"> </w:t>
      </w:r>
      <w:proofErr w:type="spellStart"/>
      <w:r>
        <w:rPr>
          <w:color w:val="404040"/>
          <w:sz w:val="23"/>
          <w:szCs w:val="23"/>
          <w:lang w:val="en-US"/>
        </w:rPr>
        <w:t>ili</w:t>
      </w:r>
      <w:proofErr w:type="spellEnd"/>
      <w:r>
        <w:rPr>
          <w:color w:val="404040"/>
          <w:sz w:val="23"/>
          <w:szCs w:val="23"/>
          <w:lang w:val="en-US"/>
        </w:rPr>
        <w:t xml:space="preserve"> </w:t>
      </w:r>
      <w:proofErr w:type="spellStart"/>
      <w:r>
        <w:rPr>
          <w:color w:val="404040"/>
          <w:sz w:val="23"/>
          <w:szCs w:val="23"/>
          <w:lang w:val="en-US"/>
        </w:rPr>
        <w:t>prema</w:t>
      </w:r>
      <w:proofErr w:type="spellEnd"/>
      <w:r>
        <w:rPr>
          <w:color w:val="404040"/>
          <w:sz w:val="23"/>
          <w:szCs w:val="23"/>
          <w:lang w:val="en-US"/>
        </w:rPr>
        <w:t xml:space="preserve"> </w:t>
      </w:r>
      <w:proofErr w:type="spellStart"/>
      <w:r>
        <w:rPr>
          <w:color w:val="404040"/>
          <w:sz w:val="23"/>
          <w:szCs w:val="23"/>
          <w:lang w:val="en-US"/>
        </w:rPr>
        <w:t>odredbama</w:t>
      </w:r>
      <w:proofErr w:type="spellEnd"/>
      <w:r>
        <w:rPr>
          <w:color w:val="404040"/>
          <w:sz w:val="23"/>
          <w:szCs w:val="23"/>
          <w:lang w:val="en-US"/>
        </w:rPr>
        <w:t xml:space="preserve"> </w:t>
      </w:r>
      <w:proofErr w:type="spellStart"/>
      <w:r>
        <w:rPr>
          <w:color w:val="404040"/>
          <w:sz w:val="23"/>
          <w:szCs w:val="23"/>
          <w:lang w:val="en-US"/>
        </w:rPr>
        <w:t>Zakona</w:t>
      </w:r>
      <w:proofErr w:type="spellEnd"/>
      <w:r>
        <w:rPr>
          <w:color w:val="404040"/>
          <w:sz w:val="23"/>
          <w:szCs w:val="23"/>
          <w:lang w:val="en-US"/>
        </w:rPr>
        <w:t xml:space="preserve"> o </w:t>
      </w:r>
      <w:proofErr w:type="spellStart"/>
      <w:r>
        <w:rPr>
          <w:color w:val="404040"/>
          <w:sz w:val="23"/>
          <w:szCs w:val="23"/>
          <w:lang w:val="en-US"/>
        </w:rPr>
        <w:t>trgovačkim</w:t>
      </w:r>
      <w:proofErr w:type="spellEnd"/>
      <w:r>
        <w:rPr>
          <w:color w:val="404040"/>
          <w:sz w:val="23"/>
          <w:szCs w:val="23"/>
          <w:lang w:val="en-US"/>
        </w:rPr>
        <w:t xml:space="preserve"> </w:t>
      </w:r>
      <w:proofErr w:type="spellStart"/>
      <w:r>
        <w:rPr>
          <w:color w:val="404040"/>
          <w:sz w:val="23"/>
          <w:szCs w:val="23"/>
          <w:lang w:val="en-US"/>
        </w:rPr>
        <w:t>društvima</w:t>
      </w:r>
      <w:proofErr w:type="spellEnd"/>
      <w:r>
        <w:rPr>
          <w:color w:val="404040"/>
          <w:sz w:val="23"/>
          <w:szCs w:val="23"/>
          <w:lang w:val="en-US"/>
        </w:rPr>
        <w:t xml:space="preserve">. </w:t>
      </w:r>
      <w:proofErr w:type="spellStart"/>
      <w:r>
        <w:rPr>
          <w:color w:val="404040"/>
          <w:sz w:val="23"/>
          <w:szCs w:val="23"/>
          <w:lang w:val="en-US"/>
        </w:rPr>
        <w:t>Promjene</w:t>
      </w:r>
      <w:proofErr w:type="spellEnd"/>
      <w:r>
        <w:rPr>
          <w:color w:val="404040"/>
          <w:sz w:val="23"/>
          <w:szCs w:val="23"/>
          <w:lang w:val="en-US"/>
        </w:rPr>
        <w:t xml:space="preserve"> </w:t>
      </w:r>
      <w:proofErr w:type="spellStart"/>
      <w:r>
        <w:rPr>
          <w:color w:val="404040"/>
          <w:sz w:val="23"/>
          <w:szCs w:val="23"/>
          <w:lang w:val="en-US"/>
        </w:rPr>
        <w:t>računovodstvenih</w:t>
      </w:r>
      <w:proofErr w:type="spellEnd"/>
      <w:r>
        <w:rPr>
          <w:color w:val="404040"/>
          <w:sz w:val="23"/>
          <w:szCs w:val="23"/>
          <w:lang w:val="en-US"/>
        </w:rPr>
        <w:t xml:space="preserve"> </w:t>
      </w:r>
      <w:proofErr w:type="spellStart"/>
      <w:r>
        <w:rPr>
          <w:color w:val="404040"/>
          <w:sz w:val="23"/>
          <w:szCs w:val="23"/>
          <w:lang w:val="en-US"/>
        </w:rPr>
        <w:t>politika</w:t>
      </w:r>
      <w:proofErr w:type="spellEnd"/>
      <w:r>
        <w:rPr>
          <w:color w:val="404040"/>
          <w:sz w:val="23"/>
          <w:szCs w:val="23"/>
          <w:lang w:val="en-US"/>
        </w:rPr>
        <w:t xml:space="preserve"> </w:t>
      </w:r>
      <w:proofErr w:type="spellStart"/>
      <w:r>
        <w:rPr>
          <w:color w:val="404040"/>
          <w:sz w:val="23"/>
          <w:szCs w:val="23"/>
          <w:lang w:val="en-US"/>
        </w:rPr>
        <w:t>retroaktivno</w:t>
      </w:r>
      <w:proofErr w:type="spellEnd"/>
      <w:r>
        <w:rPr>
          <w:color w:val="404040"/>
          <w:sz w:val="23"/>
          <w:szCs w:val="23"/>
          <w:lang w:val="en-US"/>
        </w:rPr>
        <w:t xml:space="preserve"> </w:t>
      </w:r>
      <w:proofErr w:type="spellStart"/>
      <w:r>
        <w:rPr>
          <w:color w:val="404040"/>
          <w:sz w:val="23"/>
          <w:szCs w:val="23"/>
          <w:lang w:val="en-US"/>
        </w:rPr>
        <w:t>usklađuju</w:t>
      </w:r>
      <w:proofErr w:type="spellEnd"/>
      <w:r>
        <w:rPr>
          <w:color w:val="404040"/>
          <w:sz w:val="23"/>
          <w:szCs w:val="23"/>
          <w:lang w:val="en-US"/>
        </w:rPr>
        <w:t xml:space="preserve"> </w:t>
      </w:r>
      <w:proofErr w:type="spellStart"/>
      <w:r>
        <w:rPr>
          <w:color w:val="404040"/>
          <w:sz w:val="23"/>
          <w:szCs w:val="23"/>
          <w:lang w:val="en-US"/>
        </w:rPr>
        <w:t>početno</w:t>
      </w:r>
      <w:proofErr w:type="spellEnd"/>
      <w:r>
        <w:rPr>
          <w:color w:val="404040"/>
          <w:sz w:val="23"/>
          <w:szCs w:val="23"/>
          <w:lang w:val="en-US"/>
        </w:rPr>
        <w:t xml:space="preserve"> </w:t>
      </w:r>
      <w:proofErr w:type="spellStart"/>
      <w:r>
        <w:rPr>
          <w:color w:val="404040"/>
          <w:sz w:val="23"/>
          <w:szCs w:val="23"/>
          <w:lang w:val="en-US"/>
        </w:rPr>
        <w:t>stanje</w:t>
      </w:r>
      <w:proofErr w:type="spellEnd"/>
      <w:r>
        <w:rPr>
          <w:color w:val="404040"/>
          <w:sz w:val="23"/>
          <w:szCs w:val="23"/>
          <w:lang w:val="en-US"/>
        </w:rPr>
        <w:t xml:space="preserve"> </w:t>
      </w:r>
      <w:proofErr w:type="spellStart"/>
      <w:r>
        <w:rPr>
          <w:color w:val="404040"/>
          <w:sz w:val="23"/>
          <w:szCs w:val="23"/>
          <w:lang w:val="en-US"/>
        </w:rPr>
        <w:t>kapitala</w:t>
      </w:r>
      <w:proofErr w:type="spellEnd"/>
      <w:r>
        <w:rPr>
          <w:color w:val="404040"/>
          <w:sz w:val="23"/>
          <w:szCs w:val="23"/>
          <w:lang w:val="en-US"/>
        </w:rPr>
        <w:t xml:space="preserve">, </w:t>
      </w:r>
      <w:proofErr w:type="spellStart"/>
      <w:r>
        <w:rPr>
          <w:color w:val="404040"/>
          <w:sz w:val="23"/>
          <w:szCs w:val="23"/>
          <w:lang w:val="en-US"/>
        </w:rPr>
        <w:t>dok</w:t>
      </w:r>
      <w:proofErr w:type="spellEnd"/>
      <w:r>
        <w:rPr>
          <w:color w:val="404040"/>
          <w:sz w:val="23"/>
          <w:szCs w:val="23"/>
          <w:lang w:val="en-US"/>
        </w:rPr>
        <w:t xml:space="preserve"> se </w:t>
      </w:r>
      <w:proofErr w:type="spellStart"/>
      <w:r>
        <w:rPr>
          <w:color w:val="404040"/>
          <w:sz w:val="23"/>
          <w:szCs w:val="23"/>
          <w:lang w:val="en-US"/>
        </w:rPr>
        <w:t>dobit</w:t>
      </w:r>
      <w:proofErr w:type="spellEnd"/>
      <w:r>
        <w:rPr>
          <w:color w:val="404040"/>
          <w:sz w:val="23"/>
          <w:szCs w:val="23"/>
          <w:lang w:val="en-US"/>
        </w:rPr>
        <w:t xml:space="preserve"> </w:t>
      </w:r>
      <w:proofErr w:type="spellStart"/>
      <w:r>
        <w:rPr>
          <w:color w:val="404040"/>
          <w:sz w:val="23"/>
          <w:szCs w:val="23"/>
          <w:lang w:val="en-US"/>
        </w:rPr>
        <w:t>isplaćuje</w:t>
      </w:r>
      <w:proofErr w:type="spellEnd"/>
      <w:r>
        <w:rPr>
          <w:color w:val="404040"/>
          <w:sz w:val="23"/>
          <w:szCs w:val="23"/>
          <w:lang w:val="en-US"/>
        </w:rPr>
        <w:t xml:space="preserve"> </w:t>
      </w:r>
      <w:proofErr w:type="spellStart"/>
      <w:r>
        <w:rPr>
          <w:color w:val="404040"/>
          <w:sz w:val="23"/>
          <w:szCs w:val="23"/>
          <w:lang w:val="en-US"/>
        </w:rPr>
        <w:t>temeljem</w:t>
      </w:r>
      <w:proofErr w:type="spellEnd"/>
      <w:r>
        <w:rPr>
          <w:color w:val="404040"/>
          <w:sz w:val="23"/>
          <w:szCs w:val="23"/>
          <w:lang w:val="en-US"/>
        </w:rPr>
        <w:t xml:space="preserve"> </w:t>
      </w:r>
      <w:proofErr w:type="spellStart"/>
      <w:r>
        <w:rPr>
          <w:color w:val="404040"/>
          <w:sz w:val="23"/>
          <w:szCs w:val="23"/>
          <w:lang w:val="en-US"/>
        </w:rPr>
        <w:t>odluke</w:t>
      </w:r>
      <w:proofErr w:type="spellEnd"/>
      <w:r>
        <w:rPr>
          <w:color w:val="404040"/>
          <w:sz w:val="23"/>
          <w:szCs w:val="23"/>
          <w:lang w:val="en-US"/>
        </w:rPr>
        <w:t xml:space="preserve"> </w:t>
      </w:r>
      <w:proofErr w:type="spellStart"/>
      <w:r>
        <w:rPr>
          <w:color w:val="404040"/>
          <w:sz w:val="23"/>
          <w:szCs w:val="23"/>
          <w:lang w:val="en-US"/>
        </w:rPr>
        <w:t>članova</w:t>
      </w:r>
      <w:proofErr w:type="spellEnd"/>
      <w:r>
        <w:rPr>
          <w:color w:val="404040"/>
          <w:sz w:val="23"/>
          <w:szCs w:val="23"/>
          <w:lang w:val="en-US"/>
        </w:rPr>
        <w:t xml:space="preserve"> </w:t>
      </w:r>
      <w:proofErr w:type="spellStart"/>
      <w:r>
        <w:rPr>
          <w:color w:val="404040"/>
          <w:sz w:val="23"/>
          <w:szCs w:val="23"/>
          <w:lang w:val="en-US"/>
        </w:rPr>
        <w:t>društva</w:t>
      </w:r>
      <w:proofErr w:type="spellEnd"/>
      <w:r>
        <w:rPr>
          <w:color w:val="404040"/>
          <w:sz w:val="23"/>
          <w:szCs w:val="23"/>
          <w:lang w:val="en-US"/>
        </w:rPr>
        <w:t>.</w:t>
      </w:r>
    </w:p>
    <w:p w14:paraId="30546D72" w14:textId="77777777" w:rsidR="00747201" w:rsidRDefault="00747201">
      <w:pPr>
        <w:pStyle w:val="Default"/>
        <w:spacing w:line="276" w:lineRule="auto"/>
        <w:rPr>
          <w:color w:val="404040"/>
          <w:sz w:val="23"/>
          <w:szCs w:val="23"/>
          <w:lang w:val="en-US"/>
        </w:rPr>
      </w:pPr>
    </w:p>
    <w:p w14:paraId="30546D73" w14:textId="77777777" w:rsidR="00747201" w:rsidRDefault="00FC772B">
      <w:pPr>
        <w:pStyle w:val="Default"/>
        <w:spacing w:line="276" w:lineRule="auto"/>
        <w:rPr>
          <w:b/>
          <w:bCs/>
          <w:color w:val="404040"/>
          <w:sz w:val="23"/>
          <w:szCs w:val="23"/>
        </w:rPr>
      </w:pPr>
      <w:r>
        <w:rPr>
          <w:b/>
          <w:bCs/>
          <w:color w:val="404040"/>
          <w:sz w:val="23"/>
          <w:szCs w:val="23"/>
        </w:rPr>
        <w:tab/>
        <w:t>Krediti</w:t>
      </w:r>
    </w:p>
    <w:p w14:paraId="30546D74" w14:textId="77777777" w:rsidR="00747201" w:rsidRDefault="00FC772B">
      <w:pPr>
        <w:pStyle w:val="Default"/>
        <w:spacing w:line="276" w:lineRule="auto"/>
        <w:rPr>
          <w:color w:val="404040"/>
          <w:sz w:val="23"/>
          <w:szCs w:val="23"/>
        </w:rPr>
      </w:pPr>
      <w:r>
        <w:rPr>
          <w:color w:val="404040"/>
          <w:sz w:val="23"/>
          <w:szCs w:val="23"/>
        </w:rPr>
        <w:tab/>
        <w:t>Krediti su inicijalno priznati po njihovom trošku koji je fer vrijednost primljenih sredstava.</w:t>
      </w:r>
    </w:p>
    <w:p w14:paraId="30546D75" w14:textId="77777777" w:rsidR="00747201" w:rsidRDefault="00FC772B">
      <w:pPr>
        <w:pStyle w:val="Default"/>
        <w:spacing w:line="276" w:lineRule="auto"/>
        <w:rPr>
          <w:color w:val="404040"/>
          <w:sz w:val="23"/>
          <w:szCs w:val="23"/>
        </w:rPr>
      </w:pPr>
      <w:r>
        <w:rPr>
          <w:color w:val="404040"/>
          <w:sz w:val="23"/>
          <w:szCs w:val="23"/>
        </w:rPr>
        <w:t>Nakon početnog priznavanja, krediti se vrednuju po amortiziranom trošku, korištenjem</w:t>
      </w:r>
    </w:p>
    <w:p w14:paraId="30546D76" w14:textId="77777777" w:rsidR="00747201" w:rsidRDefault="00FC772B">
      <w:pPr>
        <w:pStyle w:val="Default"/>
        <w:spacing w:line="276" w:lineRule="auto"/>
        <w:rPr>
          <w:color w:val="404040"/>
          <w:sz w:val="23"/>
          <w:szCs w:val="23"/>
        </w:rPr>
      </w:pPr>
      <w:r>
        <w:rPr>
          <w:color w:val="404040"/>
          <w:sz w:val="23"/>
          <w:szCs w:val="23"/>
        </w:rPr>
        <w:t>efektivne kamatne stope, umanjenom za ispravak vrijednosti. Efekti nastali naknadnim</w:t>
      </w:r>
    </w:p>
    <w:p w14:paraId="30546D77" w14:textId="77777777" w:rsidR="00747201" w:rsidRDefault="00FC772B">
      <w:pPr>
        <w:pStyle w:val="Default"/>
        <w:spacing w:line="276" w:lineRule="auto"/>
        <w:rPr>
          <w:color w:val="404040"/>
          <w:sz w:val="23"/>
          <w:szCs w:val="23"/>
          <w:lang w:val="en-US"/>
        </w:rPr>
      </w:pPr>
      <w:proofErr w:type="spellStart"/>
      <w:r>
        <w:rPr>
          <w:color w:val="404040"/>
          <w:sz w:val="23"/>
          <w:szCs w:val="23"/>
          <w:lang w:val="en-US"/>
        </w:rPr>
        <w:t>mjerenjem</w:t>
      </w:r>
      <w:proofErr w:type="spellEnd"/>
      <w:r>
        <w:rPr>
          <w:color w:val="404040"/>
          <w:sz w:val="23"/>
          <w:szCs w:val="23"/>
          <w:lang w:val="en-US"/>
        </w:rPr>
        <w:t xml:space="preserve"> </w:t>
      </w:r>
      <w:proofErr w:type="spellStart"/>
      <w:r>
        <w:rPr>
          <w:color w:val="404040"/>
          <w:sz w:val="23"/>
          <w:szCs w:val="23"/>
          <w:lang w:val="en-US"/>
        </w:rPr>
        <w:t>priznaju</w:t>
      </w:r>
      <w:proofErr w:type="spellEnd"/>
      <w:r>
        <w:rPr>
          <w:color w:val="404040"/>
          <w:sz w:val="23"/>
          <w:szCs w:val="23"/>
          <w:lang w:val="en-US"/>
        </w:rPr>
        <w:t xml:space="preserve"> se u </w:t>
      </w:r>
      <w:proofErr w:type="spellStart"/>
      <w:r>
        <w:rPr>
          <w:color w:val="404040"/>
          <w:sz w:val="23"/>
          <w:szCs w:val="23"/>
          <w:lang w:val="en-US"/>
        </w:rPr>
        <w:t>računu</w:t>
      </w:r>
      <w:proofErr w:type="spellEnd"/>
      <w:r>
        <w:rPr>
          <w:color w:val="404040"/>
          <w:sz w:val="23"/>
          <w:szCs w:val="23"/>
          <w:lang w:val="en-US"/>
        </w:rPr>
        <w:t xml:space="preserve"> </w:t>
      </w:r>
      <w:proofErr w:type="spellStart"/>
      <w:r>
        <w:rPr>
          <w:color w:val="404040"/>
          <w:sz w:val="23"/>
          <w:szCs w:val="23"/>
          <w:lang w:val="en-US"/>
        </w:rPr>
        <w:t>dobiti</w:t>
      </w:r>
      <w:proofErr w:type="spellEnd"/>
      <w:r>
        <w:rPr>
          <w:color w:val="404040"/>
          <w:sz w:val="23"/>
          <w:szCs w:val="23"/>
          <w:lang w:val="en-US"/>
        </w:rPr>
        <w:t xml:space="preserve"> i </w:t>
      </w:r>
      <w:proofErr w:type="spellStart"/>
      <w:r>
        <w:rPr>
          <w:color w:val="404040"/>
          <w:sz w:val="23"/>
          <w:szCs w:val="23"/>
          <w:lang w:val="en-US"/>
        </w:rPr>
        <w:t>gubitka</w:t>
      </w:r>
      <w:proofErr w:type="spellEnd"/>
      <w:r>
        <w:rPr>
          <w:color w:val="404040"/>
          <w:sz w:val="23"/>
          <w:szCs w:val="23"/>
          <w:lang w:val="en-US"/>
        </w:rPr>
        <w:t>.</w:t>
      </w:r>
    </w:p>
    <w:p w14:paraId="30546D78" w14:textId="77777777" w:rsidR="00747201" w:rsidRDefault="00747201">
      <w:pPr>
        <w:pStyle w:val="Default"/>
        <w:spacing w:line="276" w:lineRule="auto"/>
        <w:jc w:val="both"/>
        <w:rPr>
          <w:color w:val="404040"/>
          <w:sz w:val="23"/>
          <w:szCs w:val="23"/>
        </w:rPr>
      </w:pPr>
    </w:p>
    <w:p w14:paraId="30546D79" w14:textId="77777777" w:rsidR="00747201" w:rsidRDefault="00FC772B">
      <w:pPr>
        <w:pStyle w:val="Default"/>
        <w:spacing w:line="276" w:lineRule="auto"/>
        <w:jc w:val="both"/>
        <w:rPr>
          <w:color w:val="404040"/>
          <w:sz w:val="23"/>
          <w:szCs w:val="23"/>
          <w:lang w:val="en-US"/>
        </w:rPr>
      </w:pPr>
      <w:r>
        <w:rPr>
          <w:b/>
          <w:bCs/>
          <w:color w:val="404040"/>
          <w:sz w:val="23"/>
          <w:szCs w:val="23"/>
          <w:lang w:val="en-US"/>
        </w:rPr>
        <w:tab/>
      </w:r>
      <w:proofErr w:type="spellStart"/>
      <w:r>
        <w:rPr>
          <w:b/>
          <w:bCs/>
          <w:color w:val="404040"/>
          <w:sz w:val="23"/>
          <w:szCs w:val="23"/>
          <w:lang w:val="en-US"/>
        </w:rPr>
        <w:t>Porezi</w:t>
      </w:r>
      <w:proofErr w:type="spellEnd"/>
      <w:r>
        <w:rPr>
          <w:color w:val="404040"/>
          <w:sz w:val="23"/>
          <w:szCs w:val="23"/>
          <w:lang w:val="en-US"/>
        </w:rPr>
        <w:br/>
      </w:r>
      <w:r>
        <w:rPr>
          <w:color w:val="404040"/>
          <w:sz w:val="23"/>
          <w:szCs w:val="23"/>
          <w:lang w:val="en-US"/>
        </w:rPr>
        <w:tab/>
      </w:r>
      <w:proofErr w:type="spellStart"/>
      <w:r>
        <w:rPr>
          <w:b/>
          <w:bCs/>
          <w:color w:val="404040"/>
          <w:sz w:val="23"/>
          <w:szCs w:val="23"/>
          <w:lang w:val="en-US"/>
        </w:rPr>
        <w:t>Porez</w:t>
      </w:r>
      <w:proofErr w:type="spellEnd"/>
      <w:r>
        <w:rPr>
          <w:b/>
          <w:bCs/>
          <w:color w:val="404040"/>
          <w:sz w:val="23"/>
          <w:szCs w:val="23"/>
          <w:lang w:val="en-US"/>
        </w:rPr>
        <w:t xml:space="preserve"> </w:t>
      </w:r>
      <w:proofErr w:type="spellStart"/>
      <w:r>
        <w:rPr>
          <w:b/>
          <w:bCs/>
          <w:color w:val="404040"/>
          <w:sz w:val="23"/>
          <w:szCs w:val="23"/>
          <w:lang w:val="en-US"/>
        </w:rPr>
        <w:t>na</w:t>
      </w:r>
      <w:proofErr w:type="spellEnd"/>
      <w:r>
        <w:rPr>
          <w:b/>
          <w:bCs/>
          <w:color w:val="404040"/>
          <w:sz w:val="23"/>
          <w:szCs w:val="23"/>
          <w:lang w:val="en-US"/>
        </w:rPr>
        <w:t xml:space="preserve"> </w:t>
      </w:r>
      <w:proofErr w:type="spellStart"/>
      <w:r>
        <w:rPr>
          <w:b/>
          <w:bCs/>
          <w:color w:val="404040"/>
          <w:sz w:val="23"/>
          <w:szCs w:val="23"/>
          <w:lang w:val="en-US"/>
        </w:rPr>
        <w:t>dobit</w:t>
      </w:r>
      <w:proofErr w:type="spellEnd"/>
      <w:r>
        <w:rPr>
          <w:color w:val="404040"/>
          <w:sz w:val="23"/>
          <w:szCs w:val="23"/>
          <w:lang w:val="en-US"/>
        </w:rPr>
        <w:t xml:space="preserve"> </w:t>
      </w:r>
      <w:proofErr w:type="spellStart"/>
      <w:r>
        <w:rPr>
          <w:color w:val="404040"/>
          <w:sz w:val="23"/>
          <w:szCs w:val="23"/>
          <w:lang w:val="en-US"/>
        </w:rPr>
        <w:t>obračunava</w:t>
      </w:r>
      <w:proofErr w:type="spellEnd"/>
      <w:r>
        <w:rPr>
          <w:color w:val="404040"/>
          <w:sz w:val="23"/>
          <w:szCs w:val="23"/>
          <w:lang w:val="en-US"/>
        </w:rPr>
        <w:t xml:space="preserve"> se </w:t>
      </w:r>
      <w:proofErr w:type="spellStart"/>
      <w:r>
        <w:rPr>
          <w:color w:val="404040"/>
          <w:sz w:val="23"/>
          <w:szCs w:val="23"/>
          <w:lang w:val="en-US"/>
        </w:rPr>
        <w:t>temeljem</w:t>
      </w:r>
      <w:proofErr w:type="spellEnd"/>
      <w:r>
        <w:rPr>
          <w:color w:val="404040"/>
          <w:sz w:val="23"/>
          <w:szCs w:val="23"/>
          <w:lang w:val="en-US"/>
        </w:rPr>
        <w:t xml:space="preserve"> </w:t>
      </w:r>
      <w:proofErr w:type="spellStart"/>
      <w:r>
        <w:rPr>
          <w:color w:val="404040"/>
          <w:sz w:val="23"/>
          <w:szCs w:val="23"/>
          <w:lang w:val="en-US"/>
        </w:rPr>
        <w:t>oporezive</w:t>
      </w:r>
      <w:proofErr w:type="spellEnd"/>
      <w:r>
        <w:rPr>
          <w:color w:val="404040"/>
          <w:sz w:val="23"/>
          <w:szCs w:val="23"/>
          <w:lang w:val="en-US"/>
        </w:rPr>
        <w:t xml:space="preserve"> </w:t>
      </w:r>
      <w:proofErr w:type="spellStart"/>
      <w:r>
        <w:rPr>
          <w:color w:val="404040"/>
          <w:sz w:val="23"/>
          <w:szCs w:val="23"/>
          <w:lang w:val="en-US"/>
        </w:rPr>
        <w:t>dobiti</w:t>
      </w:r>
      <w:proofErr w:type="spellEnd"/>
      <w:r>
        <w:rPr>
          <w:color w:val="404040"/>
          <w:sz w:val="23"/>
          <w:szCs w:val="23"/>
          <w:lang w:val="en-US"/>
        </w:rPr>
        <w:t xml:space="preserve">, </w:t>
      </w:r>
      <w:proofErr w:type="spellStart"/>
      <w:r>
        <w:rPr>
          <w:color w:val="404040"/>
          <w:sz w:val="23"/>
          <w:szCs w:val="23"/>
          <w:lang w:val="en-US"/>
        </w:rPr>
        <w:t>uzimajući</w:t>
      </w:r>
      <w:proofErr w:type="spellEnd"/>
      <w:r>
        <w:rPr>
          <w:color w:val="404040"/>
          <w:sz w:val="23"/>
          <w:szCs w:val="23"/>
          <w:lang w:val="en-US"/>
        </w:rPr>
        <w:t xml:space="preserve"> u </w:t>
      </w:r>
      <w:proofErr w:type="spellStart"/>
      <w:r>
        <w:rPr>
          <w:color w:val="404040"/>
          <w:sz w:val="23"/>
          <w:szCs w:val="23"/>
          <w:lang w:val="en-US"/>
        </w:rPr>
        <w:t>obzir</w:t>
      </w:r>
      <w:proofErr w:type="spellEnd"/>
      <w:r>
        <w:rPr>
          <w:color w:val="404040"/>
          <w:sz w:val="23"/>
          <w:szCs w:val="23"/>
          <w:lang w:val="en-US"/>
        </w:rPr>
        <w:t xml:space="preserve"> </w:t>
      </w:r>
      <w:proofErr w:type="spellStart"/>
      <w:r>
        <w:rPr>
          <w:color w:val="404040"/>
          <w:sz w:val="23"/>
          <w:szCs w:val="23"/>
          <w:lang w:val="en-US"/>
        </w:rPr>
        <w:t>stalne</w:t>
      </w:r>
      <w:proofErr w:type="spellEnd"/>
      <w:r>
        <w:rPr>
          <w:color w:val="404040"/>
          <w:sz w:val="23"/>
          <w:szCs w:val="23"/>
          <w:lang w:val="en-US"/>
        </w:rPr>
        <w:t xml:space="preserve"> i </w:t>
      </w:r>
      <w:proofErr w:type="spellStart"/>
      <w:r>
        <w:rPr>
          <w:color w:val="404040"/>
          <w:sz w:val="23"/>
          <w:szCs w:val="23"/>
          <w:lang w:val="en-US"/>
        </w:rPr>
        <w:t>privremene</w:t>
      </w:r>
      <w:proofErr w:type="spellEnd"/>
      <w:r>
        <w:rPr>
          <w:color w:val="404040"/>
          <w:sz w:val="23"/>
          <w:szCs w:val="23"/>
          <w:lang w:val="en-US"/>
        </w:rPr>
        <w:t xml:space="preserve"> </w:t>
      </w:r>
      <w:proofErr w:type="spellStart"/>
      <w:r>
        <w:rPr>
          <w:color w:val="404040"/>
          <w:sz w:val="23"/>
          <w:szCs w:val="23"/>
          <w:lang w:val="en-US"/>
        </w:rPr>
        <w:t>razlike</w:t>
      </w:r>
      <w:proofErr w:type="spellEnd"/>
      <w:r>
        <w:rPr>
          <w:color w:val="404040"/>
          <w:sz w:val="23"/>
          <w:szCs w:val="23"/>
          <w:lang w:val="en-US"/>
        </w:rPr>
        <w:t xml:space="preserve"> </w:t>
      </w:r>
      <w:proofErr w:type="spellStart"/>
      <w:r>
        <w:rPr>
          <w:color w:val="404040"/>
          <w:sz w:val="23"/>
          <w:szCs w:val="23"/>
          <w:lang w:val="en-US"/>
        </w:rPr>
        <w:t>između</w:t>
      </w:r>
      <w:proofErr w:type="spellEnd"/>
      <w:r>
        <w:rPr>
          <w:color w:val="404040"/>
          <w:sz w:val="23"/>
          <w:szCs w:val="23"/>
          <w:lang w:val="en-US"/>
        </w:rPr>
        <w:t xml:space="preserve"> </w:t>
      </w:r>
      <w:proofErr w:type="spellStart"/>
      <w:r>
        <w:rPr>
          <w:color w:val="404040"/>
          <w:sz w:val="23"/>
          <w:szCs w:val="23"/>
          <w:lang w:val="en-US"/>
        </w:rPr>
        <w:t>računovodstvene</w:t>
      </w:r>
      <w:proofErr w:type="spellEnd"/>
      <w:r>
        <w:rPr>
          <w:color w:val="404040"/>
          <w:sz w:val="23"/>
          <w:szCs w:val="23"/>
          <w:lang w:val="en-US"/>
        </w:rPr>
        <w:t xml:space="preserve"> i </w:t>
      </w:r>
      <w:proofErr w:type="spellStart"/>
      <w:r>
        <w:rPr>
          <w:color w:val="404040"/>
          <w:sz w:val="23"/>
          <w:szCs w:val="23"/>
          <w:lang w:val="en-US"/>
        </w:rPr>
        <w:t>porezne</w:t>
      </w:r>
      <w:proofErr w:type="spellEnd"/>
      <w:r>
        <w:rPr>
          <w:color w:val="404040"/>
          <w:sz w:val="23"/>
          <w:szCs w:val="23"/>
          <w:lang w:val="en-US"/>
        </w:rPr>
        <w:t xml:space="preserve"> </w:t>
      </w:r>
      <w:proofErr w:type="spellStart"/>
      <w:r>
        <w:rPr>
          <w:color w:val="404040"/>
          <w:sz w:val="23"/>
          <w:szCs w:val="23"/>
          <w:lang w:val="en-US"/>
        </w:rPr>
        <w:t>dobiti</w:t>
      </w:r>
      <w:proofErr w:type="spellEnd"/>
      <w:r>
        <w:rPr>
          <w:color w:val="404040"/>
          <w:sz w:val="23"/>
          <w:szCs w:val="23"/>
          <w:lang w:val="en-US"/>
        </w:rPr>
        <w:t xml:space="preserve">. </w:t>
      </w:r>
      <w:r>
        <w:rPr>
          <w:b/>
          <w:bCs/>
          <w:color w:val="404040"/>
          <w:sz w:val="23"/>
          <w:szCs w:val="23"/>
          <w:lang w:val="en-US"/>
        </w:rPr>
        <w:t xml:space="preserve">Odgođeni </w:t>
      </w:r>
      <w:proofErr w:type="spellStart"/>
      <w:r>
        <w:rPr>
          <w:b/>
          <w:bCs/>
          <w:color w:val="404040"/>
          <w:sz w:val="23"/>
          <w:szCs w:val="23"/>
          <w:lang w:val="en-US"/>
        </w:rPr>
        <w:t>porezi</w:t>
      </w:r>
      <w:proofErr w:type="spellEnd"/>
      <w:r>
        <w:rPr>
          <w:color w:val="404040"/>
          <w:sz w:val="23"/>
          <w:szCs w:val="23"/>
          <w:lang w:val="en-US"/>
        </w:rPr>
        <w:t xml:space="preserve"> </w:t>
      </w:r>
      <w:proofErr w:type="spellStart"/>
      <w:r>
        <w:rPr>
          <w:color w:val="404040"/>
          <w:sz w:val="23"/>
          <w:szCs w:val="23"/>
          <w:lang w:val="en-US"/>
        </w:rPr>
        <w:t>obračunavaju</w:t>
      </w:r>
      <w:proofErr w:type="spellEnd"/>
      <w:r>
        <w:rPr>
          <w:color w:val="404040"/>
          <w:sz w:val="23"/>
          <w:szCs w:val="23"/>
          <w:lang w:val="en-US"/>
        </w:rPr>
        <w:t xml:space="preserve"> se </w:t>
      </w:r>
      <w:proofErr w:type="spellStart"/>
      <w:r>
        <w:rPr>
          <w:color w:val="404040"/>
          <w:sz w:val="23"/>
          <w:szCs w:val="23"/>
          <w:lang w:val="en-US"/>
        </w:rPr>
        <w:t>metodom</w:t>
      </w:r>
      <w:proofErr w:type="spellEnd"/>
      <w:r>
        <w:rPr>
          <w:color w:val="404040"/>
          <w:sz w:val="23"/>
          <w:szCs w:val="23"/>
          <w:lang w:val="en-US"/>
        </w:rPr>
        <w:t xml:space="preserve"> </w:t>
      </w:r>
      <w:proofErr w:type="spellStart"/>
      <w:r>
        <w:rPr>
          <w:color w:val="404040"/>
          <w:sz w:val="23"/>
          <w:szCs w:val="23"/>
          <w:lang w:val="en-US"/>
        </w:rPr>
        <w:t>obveza</w:t>
      </w:r>
      <w:proofErr w:type="spellEnd"/>
      <w:r>
        <w:rPr>
          <w:color w:val="404040"/>
          <w:sz w:val="23"/>
          <w:szCs w:val="23"/>
          <w:lang w:val="en-US"/>
        </w:rPr>
        <w:t xml:space="preserve"> za </w:t>
      </w:r>
      <w:proofErr w:type="spellStart"/>
      <w:r>
        <w:rPr>
          <w:color w:val="404040"/>
          <w:sz w:val="23"/>
          <w:szCs w:val="23"/>
          <w:lang w:val="en-US"/>
        </w:rPr>
        <w:t>privremene</w:t>
      </w:r>
      <w:proofErr w:type="spellEnd"/>
      <w:r>
        <w:rPr>
          <w:color w:val="404040"/>
          <w:sz w:val="23"/>
          <w:szCs w:val="23"/>
          <w:lang w:val="en-US"/>
        </w:rPr>
        <w:t xml:space="preserve"> </w:t>
      </w:r>
      <w:proofErr w:type="spellStart"/>
      <w:r>
        <w:rPr>
          <w:color w:val="404040"/>
          <w:sz w:val="23"/>
          <w:szCs w:val="23"/>
          <w:lang w:val="en-US"/>
        </w:rPr>
        <w:t>razlike</w:t>
      </w:r>
      <w:proofErr w:type="spellEnd"/>
      <w:r>
        <w:rPr>
          <w:color w:val="404040"/>
          <w:sz w:val="23"/>
          <w:szCs w:val="23"/>
          <w:lang w:val="en-US"/>
        </w:rPr>
        <w:t xml:space="preserve">, </w:t>
      </w:r>
      <w:proofErr w:type="spellStart"/>
      <w:r>
        <w:rPr>
          <w:color w:val="404040"/>
          <w:sz w:val="23"/>
          <w:szCs w:val="23"/>
          <w:lang w:val="en-US"/>
        </w:rPr>
        <w:t>koristeći</w:t>
      </w:r>
      <w:proofErr w:type="spellEnd"/>
      <w:r>
        <w:rPr>
          <w:color w:val="404040"/>
          <w:sz w:val="23"/>
          <w:szCs w:val="23"/>
          <w:lang w:val="en-US"/>
        </w:rPr>
        <w:t xml:space="preserve"> </w:t>
      </w:r>
      <w:proofErr w:type="spellStart"/>
      <w:r>
        <w:rPr>
          <w:color w:val="404040"/>
          <w:sz w:val="23"/>
          <w:szCs w:val="23"/>
          <w:lang w:val="en-US"/>
        </w:rPr>
        <w:t>poreznu</w:t>
      </w:r>
      <w:proofErr w:type="spellEnd"/>
      <w:r>
        <w:rPr>
          <w:color w:val="404040"/>
          <w:sz w:val="23"/>
          <w:szCs w:val="23"/>
          <w:lang w:val="en-US"/>
        </w:rPr>
        <w:t xml:space="preserve"> </w:t>
      </w:r>
      <w:proofErr w:type="spellStart"/>
      <w:r>
        <w:rPr>
          <w:color w:val="404040"/>
          <w:sz w:val="23"/>
          <w:szCs w:val="23"/>
          <w:lang w:val="en-US"/>
        </w:rPr>
        <w:t>stopu</w:t>
      </w:r>
      <w:proofErr w:type="spellEnd"/>
      <w:r>
        <w:rPr>
          <w:color w:val="404040"/>
          <w:sz w:val="23"/>
          <w:szCs w:val="23"/>
          <w:lang w:val="en-US"/>
        </w:rPr>
        <w:t xml:space="preserve"> </w:t>
      </w:r>
      <w:proofErr w:type="spellStart"/>
      <w:r>
        <w:rPr>
          <w:color w:val="404040"/>
          <w:sz w:val="23"/>
          <w:szCs w:val="23"/>
          <w:lang w:val="en-US"/>
        </w:rPr>
        <w:t>koja</w:t>
      </w:r>
      <w:proofErr w:type="spellEnd"/>
      <w:r>
        <w:rPr>
          <w:color w:val="404040"/>
          <w:sz w:val="23"/>
          <w:szCs w:val="23"/>
          <w:lang w:val="en-US"/>
        </w:rPr>
        <w:t xml:space="preserve"> </w:t>
      </w:r>
      <w:proofErr w:type="spellStart"/>
      <w:r>
        <w:rPr>
          <w:color w:val="404040"/>
          <w:sz w:val="23"/>
          <w:szCs w:val="23"/>
          <w:lang w:val="en-US"/>
        </w:rPr>
        <w:t>će</w:t>
      </w:r>
      <w:proofErr w:type="spellEnd"/>
      <w:r>
        <w:rPr>
          <w:color w:val="404040"/>
          <w:sz w:val="23"/>
          <w:szCs w:val="23"/>
          <w:lang w:val="en-US"/>
        </w:rPr>
        <w:t xml:space="preserve"> </w:t>
      </w:r>
      <w:proofErr w:type="spellStart"/>
      <w:r>
        <w:rPr>
          <w:color w:val="404040"/>
          <w:sz w:val="23"/>
          <w:szCs w:val="23"/>
          <w:lang w:val="en-US"/>
        </w:rPr>
        <w:t>biti</w:t>
      </w:r>
      <w:proofErr w:type="spellEnd"/>
      <w:r>
        <w:rPr>
          <w:color w:val="404040"/>
          <w:sz w:val="23"/>
          <w:szCs w:val="23"/>
          <w:lang w:val="en-US"/>
        </w:rPr>
        <w:t xml:space="preserve"> </w:t>
      </w:r>
      <w:proofErr w:type="spellStart"/>
      <w:r>
        <w:rPr>
          <w:color w:val="404040"/>
          <w:sz w:val="23"/>
          <w:szCs w:val="23"/>
          <w:lang w:val="en-US"/>
        </w:rPr>
        <w:t>primjenjiva</w:t>
      </w:r>
      <w:proofErr w:type="spellEnd"/>
      <w:r>
        <w:rPr>
          <w:color w:val="404040"/>
          <w:sz w:val="23"/>
          <w:szCs w:val="23"/>
          <w:lang w:val="en-US"/>
        </w:rPr>
        <w:t xml:space="preserve"> </w:t>
      </w:r>
      <w:proofErr w:type="spellStart"/>
      <w:r>
        <w:rPr>
          <w:color w:val="404040"/>
          <w:sz w:val="23"/>
          <w:szCs w:val="23"/>
          <w:lang w:val="en-US"/>
        </w:rPr>
        <w:t>kada</w:t>
      </w:r>
      <w:proofErr w:type="spellEnd"/>
      <w:r>
        <w:rPr>
          <w:color w:val="404040"/>
          <w:sz w:val="23"/>
          <w:szCs w:val="23"/>
          <w:lang w:val="en-US"/>
        </w:rPr>
        <w:t xml:space="preserve"> se </w:t>
      </w:r>
      <w:proofErr w:type="spellStart"/>
      <w:r>
        <w:rPr>
          <w:color w:val="404040"/>
          <w:sz w:val="23"/>
          <w:szCs w:val="23"/>
          <w:lang w:val="en-US"/>
        </w:rPr>
        <w:t>razlike</w:t>
      </w:r>
      <w:proofErr w:type="spellEnd"/>
      <w:r>
        <w:rPr>
          <w:color w:val="404040"/>
          <w:sz w:val="23"/>
          <w:szCs w:val="23"/>
          <w:lang w:val="en-US"/>
        </w:rPr>
        <w:t xml:space="preserve"> </w:t>
      </w:r>
      <w:proofErr w:type="spellStart"/>
      <w:r>
        <w:rPr>
          <w:color w:val="404040"/>
          <w:sz w:val="23"/>
          <w:szCs w:val="23"/>
          <w:lang w:val="en-US"/>
        </w:rPr>
        <w:t>nadoknade</w:t>
      </w:r>
      <w:proofErr w:type="spellEnd"/>
      <w:r>
        <w:rPr>
          <w:color w:val="404040"/>
          <w:sz w:val="23"/>
          <w:szCs w:val="23"/>
          <w:lang w:val="en-US"/>
        </w:rPr>
        <w:t xml:space="preserve">. </w:t>
      </w:r>
      <w:proofErr w:type="spellStart"/>
      <w:r>
        <w:rPr>
          <w:color w:val="404040"/>
          <w:sz w:val="23"/>
          <w:szCs w:val="23"/>
          <w:lang w:val="en-US"/>
        </w:rPr>
        <w:t>Odgođena</w:t>
      </w:r>
      <w:proofErr w:type="spellEnd"/>
      <w:r>
        <w:rPr>
          <w:color w:val="404040"/>
          <w:sz w:val="23"/>
          <w:szCs w:val="23"/>
          <w:lang w:val="en-US"/>
        </w:rPr>
        <w:t xml:space="preserve"> </w:t>
      </w:r>
      <w:proofErr w:type="spellStart"/>
      <w:r>
        <w:rPr>
          <w:color w:val="404040"/>
          <w:sz w:val="23"/>
          <w:szCs w:val="23"/>
          <w:lang w:val="en-US"/>
        </w:rPr>
        <w:t>porezna</w:t>
      </w:r>
      <w:proofErr w:type="spellEnd"/>
      <w:r>
        <w:rPr>
          <w:color w:val="404040"/>
          <w:sz w:val="23"/>
          <w:szCs w:val="23"/>
          <w:lang w:val="en-US"/>
        </w:rPr>
        <w:t xml:space="preserve"> </w:t>
      </w:r>
      <w:proofErr w:type="spellStart"/>
      <w:r>
        <w:rPr>
          <w:color w:val="404040"/>
          <w:sz w:val="23"/>
          <w:szCs w:val="23"/>
          <w:lang w:val="en-US"/>
        </w:rPr>
        <w:t>imovina</w:t>
      </w:r>
      <w:proofErr w:type="spellEnd"/>
      <w:r>
        <w:rPr>
          <w:color w:val="404040"/>
          <w:sz w:val="23"/>
          <w:szCs w:val="23"/>
          <w:lang w:val="en-US"/>
        </w:rPr>
        <w:t xml:space="preserve"> </w:t>
      </w:r>
      <w:proofErr w:type="spellStart"/>
      <w:r>
        <w:rPr>
          <w:color w:val="404040"/>
          <w:sz w:val="23"/>
          <w:szCs w:val="23"/>
          <w:lang w:val="en-US"/>
        </w:rPr>
        <w:t>priznaje</w:t>
      </w:r>
      <w:proofErr w:type="spellEnd"/>
      <w:r>
        <w:rPr>
          <w:color w:val="404040"/>
          <w:sz w:val="23"/>
          <w:szCs w:val="23"/>
          <w:lang w:val="en-US"/>
        </w:rPr>
        <w:t xml:space="preserve"> se </w:t>
      </w:r>
      <w:proofErr w:type="spellStart"/>
      <w:r>
        <w:rPr>
          <w:color w:val="404040"/>
          <w:sz w:val="23"/>
          <w:szCs w:val="23"/>
          <w:lang w:val="en-US"/>
        </w:rPr>
        <w:t>samo</w:t>
      </w:r>
      <w:proofErr w:type="spellEnd"/>
      <w:r>
        <w:rPr>
          <w:color w:val="404040"/>
          <w:sz w:val="23"/>
          <w:szCs w:val="23"/>
          <w:lang w:val="en-US"/>
        </w:rPr>
        <w:t xml:space="preserve"> </w:t>
      </w:r>
      <w:proofErr w:type="spellStart"/>
      <w:r>
        <w:rPr>
          <w:color w:val="404040"/>
          <w:sz w:val="23"/>
          <w:szCs w:val="23"/>
          <w:lang w:val="en-US"/>
        </w:rPr>
        <w:t>ako</w:t>
      </w:r>
      <w:proofErr w:type="spellEnd"/>
      <w:r>
        <w:rPr>
          <w:color w:val="404040"/>
          <w:sz w:val="23"/>
          <w:szCs w:val="23"/>
          <w:lang w:val="en-US"/>
        </w:rPr>
        <w:t xml:space="preserve"> </w:t>
      </w:r>
      <w:proofErr w:type="spellStart"/>
      <w:r>
        <w:rPr>
          <w:color w:val="404040"/>
          <w:sz w:val="23"/>
          <w:szCs w:val="23"/>
          <w:lang w:val="en-US"/>
        </w:rPr>
        <w:t>postoji</w:t>
      </w:r>
      <w:proofErr w:type="spellEnd"/>
      <w:r>
        <w:rPr>
          <w:color w:val="404040"/>
          <w:sz w:val="23"/>
          <w:szCs w:val="23"/>
          <w:lang w:val="en-US"/>
        </w:rPr>
        <w:t xml:space="preserve"> </w:t>
      </w:r>
      <w:proofErr w:type="spellStart"/>
      <w:r>
        <w:rPr>
          <w:color w:val="404040"/>
          <w:sz w:val="23"/>
          <w:szCs w:val="23"/>
          <w:lang w:val="en-US"/>
        </w:rPr>
        <w:t>vjerojatnost</w:t>
      </w:r>
      <w:proofErr w:type="spellEnd"/>
      <w:r>
        <w:rPr>
          <w:color w:val="404040"/>
          <w:sz w:val="23"/>
          <w:szCs w:val="23"/>
          <w:lang w:val="en-US"/>
        </w:rPr>
        <w:t xml:space="preserve"> </w:t>
      </w:r>
      <w:proofErr w:type="spellStart"/>
      <w:r>
        <w:rPr>
          <w:color w:val="404040"/>
          <w:sz w:val="23"/>
          <w:szCs w:val="23"/>
          <w:lang w:val="en-US"/>
        </w:rPr>
        <w:t>dostatne</w:t>
      </w:r>
      <w:proofErr w:type="spellEnd"/>
      <w:r>
        <w:rPr>
          <w:color w:val="404040"/>
          <w:sz w:val="23"/>
          <w:szCs w:val="23"/>
          <w:lang w:val="en-US"/>
        </w:rPr>
        <w:t xml:space="preserve"> </w:t>
      </w:r>
      <w:proofErr w:type="spellStart"/>
      <w:r>
        <w:rPr>
          <w:color w:val="404040"/>
          <w:sz w:val="23"/>
          <w:szCs w:val="23"/>
          <w:lang w:val="en-US"/>
        </w:rPr>
        <w:t>oporezive</w:t>
      </w:r>
      <w:proofErr w:type="spellEnd"/>
      <w:r>
        <w:rPr>
          <w:color w:val="404040"/>
          <w:sz w:val="23"/>
          <w:szCs w:val="23"/>
          <w:lang w:val="en-US"/>
        </w:rPr>
        <w:t xml:space="preserve"> </w:t>
      </w:r>
      <w:proofErr w:type="spellStart"/>
      <w:r>
        <w:rPr>
          <w:color w:val="404040"/>
          <w:sz w:val="23"/>
          <w:szCs w:val="23"/>
          <w:lang w:val="en-US"/>
        </w:rPr>
        <w:t>dobiti</w:t>
      </w:r>
      <w:proofErr w:type="spellEnd"/>
      <w:r>
        <w:rPr>
          <w:color w:val="404040"/>
          <w:sz w:val="23"/>
          <w:szCs w:val="23"/>
          <w:lang w:val="en-US"/>
        </w:rPr>
        <w:t xml:space="preserve"> za </w:t>
      </w:r>
      <w:proofErr w:type="spellStart"/>
      <w:r>
        <w:rPr>
          <w:color w:val="404040"/>
          <w:sz w:val="23"/>
          <w:szCs w:val="23"/>
          <w:lang w:val="en-US"/>
        </w:rPr>
        <w:t>njeno</w:t>
      </w:r>
      <w:proofErr w:type="spellEnd"/>
      <w:r>
        <w:rPr>
          <w:color w:val="404040"/>
          <w:sz w:val="23"/>
          <w:szCs w:val="23"/>
          <w:lang w:val="en-US"/>
        </w:rPr>
        <w:t xml:space="preserve"> </w:t>
      </w:r>
      <w:proofErr w:type="spellStart"/>
      <w:r>
        <w:rPr>
          <w:color w:val="404040"/>
          <w:sz w:val="23"/>
          <w:szCs w:val="23"/>
          <w:lang w:val="en-US"/>
        </w:rPr>
        <w:t>korištenje</w:t>
      </w:r>
      <w:proofErr w:type="spellEnd"/>
      <w:r>
        <w:rPr>
          <w:color w:val="404040"/>
          <w:sz w:val="23"/>
          <w:szCs w:val="23"/>
          <w:lang w:val="en-US"/>
        </w:rPr>
        <w:t xml:space="preserve">, a u </w:t>
      </w:r>
      <w:proofErr w:type="spellStart"/>
      <w:r>
        <w:rPr>
          <w:color w:val="404040"/>
          <w:sz w:val="23"/>
          <w:szCs w:val="23"/>
          <w:lang w:val="en-US"/>
        </w:rPr>
        <w:t>bilanci</w:t>
      </w:r>
      <w:proofErr w:type="spellEnd"/>
      <w:r>
        <w:rPr>
          <w:color w:val="404040"/>
          <w:sz w:val="23"/>
          <w:szCs w:val="23"/>
          <w:lang w:val="en-US"/>
        </w:rPr>
        <w:t xml:space="preserve"> se </w:t>
      </w:r>
      <w:proofErr w:type="spellStart"/>
      <w:r>
        <w:rPr>
          <w:color w:val="404040"/>
          <w:sz w:val="23"/>
          <w:szCs w:val="23"/>
          <w:lang w:val="en-US"/>
        </w:rPr>
        <w:t>odgođeni</w:t>
      </w:r>
      <w:proofErr w:type="spellEnd"/>
      <w:r>
        <w:rPr>
          <w:color w:val="404040"/>
          <w:sz w:val="23"/>
          <w:szCs w:val="23"/>
          <w:lang w:val="en-US"/>
        </w:rPr>
        <w:t xml:space="preserve"> </w:t>
      </w:r>
      <w:proofErr w:type="spellStart"/>
      <w:r>
        <w:rPr>
          <w:color w:val="404040"/>
          <w:sz w:val="23"/>
          <w:szCs w:val="23"/>
          <w:lang w:val="en-US"/>
        </w:rPr>
        <w:t>porezi</w:t>
      </w:r>
      <w:proofErr w:type="spellEnd"/>
      <w:r>
        <w:rPr>
          <w:color w:val="404040"/>
          <w:sz w:val="23"/>
          <w:szCs w:val="23"/>
          <w:lang w:val="en-US"/>
        </w:rPr>
        <w:t xml:space="preserve"> </w:t>
      </w:r>
      <w:proofErr w:type="spellStart"/>
      <w:r>
        <w:rPr>
          <w:color w:val="404040"/>
          <w:sz w:val="23"/>
          <w:szCs w:val="23"/>
          <w:lang w:val="en-US"/>
        </w:rPr>
        <w:t>razvrstavaju</w:t>
      </w:r>
      <w:proofErr w:type="spellEnd"/>
      <w:r>
        <w:rPr>
          <w:color w:val="404040"/>
          <w:sz w:val="23"/>
          <w:szCs w:val="23"/>
          <w:lang w:val="en-US"/>
        </w:rPr>
        <w:t xml:space="preserve"> </w:t>
      </w:r>
      <w:proofErr w:type="spellStart"/>
      <w:r>
        <w:rPr>
          <w:color w:val="404040"/>
          <w:sz w:val="23"/>
          <w:szCs w:val="23"/>
          <w:lang w:val="en-US"/>
        </w:rPr>
        <w:t>kao</w:t>
      </w:r>
      <w:proofErr w:type="spellEnd"/>
      <w:r>
        <w:rPr>
          <w:color w:val="404040"/>
          <w:sz w:val="23"/>
          <w:szCs w:val="23"/>
          <w:lang w:val="en-US"/>
        </w:rPr>
        <w:t xml:space="preserve"> </w:t>
      </w:r>
      <w:proofErr w:type="spellStart"/>
      <w:r>
        <w:rPr>
          <w:color w:val="404040"/>
          <w:sz w:val="23"/>
          <w:szCs w:val="23"/>
          <w:lang w:val="en-US"/>
        </w:rPr>
        <w:t>dugotrajna</w:t>
      </w:r>
      <w:proofErr w:type="spellEnd"/>
      <w:r>
        <w:rPr>
          <w:color w:val="404040"/>
          <w:sz w:val="23"/>
          <w:szCs w:val="23"/>
          <w:lang w:val="en-US"/>
        </w:rPr>
        <w:t xml:space="preserve"> </w:t>
      </w:r>
      <w:proofErr w:type="spellStart"/>
      <w:r>
        <w:rPr>
          <w:color w:val="404040"/>
          <w:sz w:val="23"/>
          <w:szCs w:val="23"/>
          <w:lang w:val="en-US"/>
        </w:rPr>
        <w:t>imovina</w:t>
      </w:r>
      <w:proofErr w:type="spellEnd"/>
      <w:r>
        <w:rPr>
          <w:color w:val="404040"/>
          <w:sz w:val="23"/>
          <w:szCs w:val="23"/>
          <w:lang w:val="en-US"/>
        </w:rPr>
        <w:t xml:space="preserve"> </w:t>
      </w:r>
      <w:proofErr w:type="spellStart"/>
      <w:r>
        <w:rPr>
          <w:color w:val="404040"/>
          <w:sz w:val="23"/>
          <w:szCs w:val="23"/>
          <w:lang w:val="en-US"/>
        </w:rPr>
        <w:t>ili</w:t>
      </w:r>
      <w:proofErr w:type="spellEnd"/>
      <w:r>
        <w:rPr>
          <w:color w:val="404040"/>
          <w:sz w:val="23"/>
          <w:szCs w:val="23"/>
          <w:lang w:val="en-US"/>
        </w:rPr>
        <w:t xml:space="preserve"> </w:t>
      </w:r>
      <w:proofErr w:type="spellStart"/>
      <w:r>
        <w:rPr>
          <w:color w:val="404040"/>
          <w:sz w:val="23"/>
          <w:szCs w:val="23"/>
          <w:lang w:val="en-US"/>
        </w:rPr>
        <w:t>obveze</w:t>
      </w:r>
      <w:proofErr w:type="spellEnd"/>
      <w:r>
        <w:rPr>
          <w:color w:val="404040"/>
          <w:sz w:val="23"/>
          <w:szCs w:val="23"/>
          <w:lang w:val="en-US"/>
        </w:rPr>
        <w:t xml:space="preserve">, bez </w:t>
      </w:r>
      <w:proofErr w:type="spellStart"/>
      <w:r>
        <w:rPr>
          <w:color w:val="404040"/>
          <w:sz w:val="23"/>
          <w:szCs w:val="23"/>
          <w:lang w:val="en-US"/>
        </w:rPr>
        <w:t>diskontiranja</w:t>
      </w:r>
      <w:proofErr w:type="spellEnd"/>
      <w:r>
        <w:rPr>
          <w:color w:val="404040"/>
          <w:sz w:val="23"/>
          <w:szCs w:val="23"/>
          <w:lang w:val="en-US"/>
        </w:rPr>
        <w:t>.</w:t>
      </w:r>
    </w:p>
    <w:p w14:paraId="30546D7A" w14:textId="77777777" w:rsidR="00747201" w:rsidRDefault="00747201">
      <w:pPr>
        <w:pStyle w:val="Default"/>
        <w:spacing w:line="276" w:lineRule="auto"/>
        <w:jc w:val="both"/>
        <w:rPr>
          <w:color w:val="404040"/>
          <w:sz w:val="23"/>
          <w:szCs w:val="23"/>
        </w:rPr>
      </w:pPr>
    </w:p>
    <w:p w14:paraId="30546D7B" w14:textId="77777777" w:rsidR="00747201" w:rsidRDefault="00FC772B">
      <w:pPr>
        <w:pStyle w:val="Default"/>
        <w:spacing w:line="276" w:lineRule="auto"/>
        <w:ind w:left="708"/>
        <w:jc w:val="both"/>
        <w:rPr>
          <w:b/>
          <w:color w:val="404040"/>
          <w:sz w:val="23"/>
          <w:szCs w:val="23"/>
        </w:rPr>
      </w:pPr>
      <w:r>
        <w:rPr>
          <w:b/>
          <w:color w:val="404040"/>
          <w:sz w:val="23"/>
          <w:szCs w:val="23"/>
        </w:rPr>
        <w:t>Obveze prema dobavljačima</w:t>
      </w:r>
    </w:p>
    <w:p w14:paraId="30546D7C" w14:textId="77777777" w:rsidR="00747201" w:rsidRDefault="00FC772B">
      <w:pPr>
        <w:pStyle w:val="Default"/>
        <w:spacing w:line="276" w:lineRule="auto"/>
        <w:jc w:val="both"/>
        <w:rPr>
          <w:color w:val="404040"/>
          <w:sz w:val="23"/>
          <w:szCs w:val="23"/>
        </w:rPr>
      </w:pPr>
      <w:r>
        <w:rPr>
          <w:color w:val="404040"/>
          <w:sz w:val="23"/>
          <w:szCs w:val="23"/>
        </w:rPr>
        <w:tab/>
        <w:t>Obveze prema dobavljačima su nastale za nabavljena dobra ili usluge u redovnom poslovanju. Ako dospijevaju u roku do jedne godine ili kraću su kratkoročne, a duže od godine klasificiramo kao dugoročne.</w:t>
      </w:r>
    </w:p>
    <w:p w14:paraId="30546D7D" w14:textId="77777777" w:rsidR="00747201" w:rsidRDefault="00FC772B">
      <w:pPr>
        <w:pStyle w:val="Default"/>
        <w:spacing w:line="276" w:lineRule="auto"/>
        <w:ind w:firstLine="708"/>
        <w:jc w:val="both"/>
        <w:rPr>
          <w:bCs/>
          <w:color w:val="404040"/>
          <w:sz w:val="23"/>
          <w:szCs w:val="23"/>
        </w:rPr>
      </w:pPr>
      <w:r>
        <w:rPr>
          <w:bCs/>
          <w:color w:val="404040"/>
          <w:sz w:val="23"/>
          <w:szCs w:val="23"/>
        </w:rPr>
        <w:t>Obveze se iskazuju po nominalnoj vrijednosti i razvrstavaju se na kratkoročne i dugoročne.</w:t>
      </w:r>
      <w:r>
        <w:rPr>
          <w:color w:val="404040"/>
          <w:sz w:val="23"/>
          <w:szCs w:val="23"/>
        </w:rPr>
        <w:br w:type="page"/>
      </w:r>
    </w:p>
    <w:p w14:paraId="30546D7E" w14:textId="77777777" w:rsidR="00747201" w:rsidRDefault="00FC772B">
      <w:pPr>
        <w:pStyle w:val="Default"/>
        <w:spacing w:line="276" w:lineRule="auto"/>
        <w:jc w:val="center"/>
        <w:rPr>
          <w:color w:val="404040"/>
          <w:sz w:val="23"/>
          <w:szCs w:val="23"/>
        </w:rPr>
      </w:pPr>
      <w:r>
        <w:rPr>
          <w:b/>
          <w:bCs/>
          <w:color w:val="404040"/>
          <w:sz w:val="32"/>
          <w:szCs w:val="32"/>
        </w:rPr>
        <w:lastRenderedPageBreak/>
        <w:t>BILJEŠKE</w:t>
      </w:r>
    </w:p>
    <w:p w14:paraId="30546D7F" w14:textId="77777777" w:rsidR="00747201" w:rsidRDefault="00747201">
      <w:pPr>
        <w:pStyle w:val="Default"/>
        <w:spacing w:line="276" w:lineRule="auto"/>
        <w:jc w:val="both"/>
        <w:rPr>
          <w:color w:val="404040"/>
          <w:sz w:val="32"/>
          <w:szCs w:val="32"/>
        </w:rPr>
      </w:pPr>
    </w:p>
    <w:p w14:paraId="30546D80" w14:textId="77777777" w:rsidR="00747201" w:rsidRDefault="00FC772B">
      <w:pPr>
        <w:pStyle w:val="Default"/>
        <w:spacing w:line="276" w:lineRule="auto"/>
        <w:jc w:val="center"/>
        <w:rPr>
          <w:b/>
          <w:bCs/>
          <w:color w:val="404040"/>
          <w:sz w:val="32"/>
          <w:szCs w:val="32"/>
        </w:rPr>
      </w:pPr>
      <w:r>
        <w:rPr>
          <w:b/>
          <w:bCs/>
          <w:color w:val="404040"/>
          <w:sz w:val="32"/>
          <w:szCs w:val="32"/>
        </w:rPr>
        <w:t>RAČUN DOBITI I GUBITKA</w:t>
      </w:r>
    </w:p>
    <w:p w14:paraId="30546D81" w14:textId="77777777" w:rsidR="00747201" w:rsidRDefault="00747201">
      <w:pPr>
        <w:spacing w:after="0"/>
        <w:jc w:val="both"/>
        <w:rPr>
          <w:b/>
          <w:color w:val="404040"/>
          <w:sz w:val="23"/>
          <w:szCs w:val="23"/>
        </w:rPr>
      </w:pPr>
    </w:p>
    <w:p w14:paraId="30546D82" w14:textId="77777777" w:rsidR="00747201" w:rsidRDefault="00FC772B">
      <w:pPr>
        <w:spacing w:after="0"/>
        <w:jc w:val="center"/>
        <w:rPr>
          <w:b/>
          <w:color w:val="404040"/>
          <w:sz w:val="23"/>
          <w:szCs w:val="23"/>
        </w:rPr>
      </w:pPr>
      <w:r>
        <w:rPr>
          <w:noProof/>
        </w:rPr>
        <w:drawing>
          <wp:inline distT="0" distB="0" distL="0" distR="0" wp14:anchorId="30546E1C" wp14:editId="30546E1D">
            <wp:extent cx="4241937" cy="1579880"/>
            <wp:effectExtent l="0" t="0" r="0" b="0"/>
            <wp:docPr id="2" name="Диаграмма 33" title="chart_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0546D83" w14:textId="77777777" w:rsidR="00747201" w:rsidRDefault="00747201">
      <w:pPr>
        <w:spacing w:after="0"/>
        <w:jc w:val="both"/>
        <w:rPr>
          <w:b/>
          <w:color w:val="404040"/>
          <w:sz w:val="23"/>
          <w:szCs w:val="23"/>
        </w:rPr>
      </w:pPr>
    </w:p>
    <w:p w14:paraId="30546D84" w14:textId="77777777" w:rsidR="00747201" w:rsidRDefault="00FC772B">
      <w:pPr>
        <w:spacing w:after="0"/>
        <w:ind w:firstLine="708"/>
        <w:jc w:val="both"/>
        <w:rPr>
          <w:b/>
          <w:color w:val="404040"/>
          <w:sz w:val="23"/>
          <w:szCs w:val="23"/>
        </w:rPr>
      </w:pPr>
      <w:r>
        <w:rPr>
          <w:b/>
          <w:color w:val="404040"/>
          <w:sz w:val="23"/>
          <w:szCs w:val="23"/>
        </w:rPr>
        <w:t>PRIHODI</w:t>
      </w:r>
    </w:p>
    <w:p w14:paraId="30546D85" w14:textId="77777777" w:rsidR="00747201" w:rsidRDefault="00747201">
      <w:pPr>
        <w:spacing w:after="0"/>
        <w:jc w:val="center"/>
        <w:rPr>
          <w:b/>
          <w:color w:val="404040"/>
          <w:sz w:val="23"/>
          <w:szCs w:val="23"/>
        </w:rPr>
      </w:pPr>
    </w:p>
    <w:p w14:paraId="30546D86" w14:textId="77777777" w:rsidR="00747201" w:rsidRDefault="00FC772B">
      <w:pPr>
        <w:spacing w:after="0"/>
        <w:ind w:firstLine="708"/>
        <w:jc w:val="both"/>
        <w:rPr>
          <w:color w:val="404040"/>
          <w:sz w:val="23"/>
          <w:szCs w:val="23"/>
        </w:rPr>
      </w:pPr>
      <w:proofErr w:type="spellStart"/>
      <w:r>
        <w:rPr>
          <w:color w:val="404040"/>
          <w:sz w:val="23"/>
          <w:szCs w:val="23"/>
        </w:rPr>
        <w:t>Ukupni</w:t>
      </w:r>
      <w:proofErr w:type="spellEnd"/>
      <w:r>
        <w:rPr>
          <w:color w:val="404040"/>
          <w:sz w:val="23"/>
          <w:szCs w:val="23"/>
        </w:rPr>
        <w:t xml:space="preserve"> </w:t>
      </w:r>
      <w:proofErr w:type="spellStart"/>
      <w:r>
        <w:rPr>
          <w:color w:val="404040"/>
          <w:sz w:val="23"/>
          <w:szCs w:val="23"/>
        </w:rPr>
        <w:t>prihodi</w:t>
      </w:r>
      <w:proofErr w:type="spellEnd"/>
      <w:r>
        <w:rPr>
          <w:color w:val="404040"/>
          <w:sz w:val="23"/>
          <w:szCs w:val="23"/>
        </w:rPr>
        <w:t xml:space="preserve"> </w:t>
      </w:r>
      <w:proofErr w:type="spellStart"/>
      <w:r>
        <w:rPr>
          <w:color w:val="404040"/>
          <w:sz w:val="23"/>
          <w:szCs w:val="23"/>
        </w:rPr>
        <w:t>trgovačkog</w:t>
      </w:r>
      <w:proofErr w:type="spellEnd"/>
      <w:r>
        <w:rPr>
          <w:color w:val="404040"/>
          <w:sz w:val="23"/>
          <w:szCs w:val="23"/>
        </w:rPr>
        <w:t xml:space="preserve"> </w:t>
      </w:r>
      <w:proofErr w:type="spellStart"/>
      <w:r>
        <w:rPr>
          <w:color w:val="404040"/>
          <w:sz w:val="23"/>
          <w:szCs w:val="23"/>
        </w:rPr>
        <w:t>društva</w:t>
      </w:r>
      <w:proofErr w:type="spellEnd"/>
      <w:r>
        <w:rPr>
          <w:color w:val="404040"/>
          <w:sz w:val="23"/>
          <w:szCs w:val="23"/>
        </w:rPr>
        <w:t xml:space="preserve"> Eko Promina d.o.o. u 2024. </w:t>
      </w:r>
      <w:proofErr w:type="spellStart"/>
      <w:r>
        <w:rPr>
          <w:color w:val="404040"/>
          <w:sz w:val="23"/>
          <w:szCs w:val="23"/>
        </w:rPr>
        <w:t>godini</w:t>
      </w:r>
      <w:proofErr w:type="spellEnd"/>
      <w:r>
        <w:rPr>
          <w:color w:val="404040"/>
          <w:sz w:val="23"/>
          <w:szCs w:val="23"/>
        </w:rPr>
        <w:t xml:space="preserve"> (</w:t>
      </w:r>
      <w:proofErr w:type="spellStart"/>
      <w:r>
        <w:rPr>
          <w:color w:val="404040"/>
          <w:sz w:val="23"/>
          <w:szCs w:val="23"/>
        </w:rPr>
        <w:t>iskazani</w:t>
      </w:r>
      <w:proofErr w:type="spellEnd"/>
      <w:r>
        <w:rPr>
          <w:color w:val="404040"/>
          <w:sz w:val="23"/>
          <w:szCs w:val="23"/>
        </w:rPr>
        <w:t xml:space="preserve"> po </w:t>
      </w:r>
      <w:proofErr w:type="spellStart"/>
      <w:r>
        <w:rPr>
          <w:color w:val="404040"/>
          <w:sz w:val="23"/>
          <w:szCs w:val="23"/>
        </w:rPr>
        <w:t>fakturnoj</w:t>
      </w:r>
      <w:proofErr w:type="spellEnd"/>
      <w:r>
        <w:rPr>
          <w:color w:val="404040"/>
          <w:sz w:val="23"/>
          <w:szCs w:val="23"/>
        </w:rPr>
        <w:t xml:space="preserve"> </w:t>
      </w:r>
      <w:proofErr w:type="spellStart"/>
      <w:r>
        <w:rPr>
          <w:color w:val="404040"/>
          <w:sz w:val="23"/>
          <w:szCs w:val="23"/>
        </w:rPr>
        <w:t>vrijednosti</w:t>
      </w:r>
      <w:proofErr w:type="spellEnd"/>
      <w:r>
        <w:rPr>
          <w:color w:val="404040"/>
          <w:sz w:val="23"/>
          <w:szCs w:val="23"/>
        </w:rPr>
        <w:t xml:space="preserve">) </w:t>
      </w:r>
      <w:proofErr w:type="spellStart"/>
      <w:r>
        <w:rPr>
          <w:color w:val="404040"/>
          <w:sz w:val="23"/>
          <w:szCs w:val="23"/>
        </w:rPr>
        <w:t>iznose</w:t>
      </w:r>
      <w:proofErr w:type="spellEnd"/>
      <w:r>
        <w:rPr>
          <w:color w:val="404040"/>
          <w:sz w:val="23"/>
          <w:szCs w:val="23"/>
        </w:rPr>
        <w:t xml:space="preserve"> 182.829,59 € </w:t>
      </w:r>
      <w:proofErr w:type="spellStart"/>
      <w:r>
        <w:rPr>
          <w:color w:val="404040"/>
          <w:sz w:val="23"/>
          <w:szCs w:val="23"/>
        </w:rPr>
        <w:t>te</w:t>
      </w:r>
      <w:proofErr w:type="spellEnd"/>
      <w:r>
        <w:rPr>
          <w:color w:val="404040"/>
          <w:sz w:val="23"/>
          <w:szCs w:val="23"/>
        </w:rPr>
        <w:t xml:space="preserve"> </w:t>
      </w:r>
      <w:proofErr w:type="spellStart"/>
      <w:r>
        <w:rPr>
          <w:color w:val="404040"/>
          <w:sz w:val="23"/>
          <w:szCs w:val="23"/>
        </w:rPr>
        <w:t>su</w:t>
      </w:r>
      <w:proofErr w:type="spellEnd"/>
      <w:r>
        <w:rPr>
          <w:color w:val="404040"/>
          <w:sz w:val="23"/>
          <w:szCs w:val="23"/>
        </w:rPr>
        <w:t xml:space="preserve"> u </w:t>
      </w:r>
      <w:proofErr w:type="spellStart"/>
      <w:r>
        <w:rPr>
          <w:color w:val="404040"/>
          <w:sz w:val="23"/>
          <w:szCs w:val="23"/>
        </w:rPr>
        <w:t>odnosu</w:t>
      </w:r>
      <w:proofErr w:type="spellEnd"/>
      <w:r>
        <w:rPr>
          <w:color w:val="404040"/>
          <w:sz w:val="23"/>
          <w:szCs w:val="23"/>
        </w:rPr>
        <w:t xml:space="preserve"> </w:t>
      </w:r>
      <w:proofErr w:type="spellStart"/>
      <w:r>
        <w:rPr>
          <w:color w:val="404040"/>
          <w:sz w:val="23"/>
          <w:szCs w:val="23"/>
        </w:rPr>
        <w:t>na</w:t>
      </w:r>
      <w:proofErr w:type="spellEnd"/>
      <w:r>
        <w:rPr>
          <w:color w:val="404040"/>
          <w:sz w:val="23"/>
          <w:szCs w:val="23"/>
        </w:rPr>
        <w:t xml:space="preserve"> 2023. </w:t>
      </w:r>
      <w:proofErr w:type="spellStart"/>
      <w:r>
        <w:rPr>
          <w:color w:val="404040"/>
          <w:sz w:val="23"/>
          <w:szCs w:val="23"/>
        </w:rPr>
        <w:t>godinu</w:t>
      </w:r>
      <w:proofErr w:type="spellEnd"/>
      <w:r>
        <w:rPr>
          <w:color w:val="404040"/>
          <w:sz w:val="23"/>
          <w:szCs w:val="23"/>
        </w:rPr>
        <w:t xml:space="preserve"> </w:t>
      </w:r>
      <w:proofErr w:type="spellStart"/>
      <w:r>
        <w:rPr>
          <w:color w:val="404040"/>
          <w:sz w:val="23"/>
          <w:szCs w:val="23"/>
        </w:rPr>
        <w:t>zabilježili</w:t>
      </w:r>
      <w:proofErr w:type="spellEnd"/>
      <w:r>
        <w:rPr>
          <w:color w:val="404040"/>
          <w:sz w:val="23"/>
          <w:szCs w:val="23"/>
        </w:rPr>
        <w:t xml:space="preserve"> </w:t>
      </w:r>
      <w:proofErr w:type="spellStart"/>
      <w:r>
        <w:rPr>
          <w:color w:val="404040"/>
          <w:sz w:val="23"/>
          <w:szCs w:val="23"/>
        </w:rPr>
        <w:t>promjenu</w:t>
      </w:r>
      <w:proofErr w:type="spellEnd"/>
      <w:r>
        <w:rPr>
          <w:color w:val="404040"/>
          <w:sz w:val="23"/>
          <w:szCs w:val="23"/>
        </w:rPr>
        <w:t xml:space="preserve"> od 40,77 %, </w:t>
      </w:r>
      <w:proofErr w:type="spellStart"/>
      <w:r>
        <w:rPr>
          <w:color w:val="404040"/>
          <w:sz w:val="23"/>
          <w:szCs w:val="23"/>
        </w:rPr>
        <w:t>odnosno</w:t>
      </w:r>
      <w:proofErr w:type="spellEnd"/>
      <w:r>
        <w:rPr>
          <w:color w:val="404040"/>
          <w:sz w:val="23"/>
          <w:szCs w:val="23"/>
        </w:rPr>
        <w:t xml:space="preserve"> </w:t>
      </w:r>
      <w:proofErr w:type="spellStart"/>
      <w:r>
        <w:rPr>
          <w:color w:val="404040"/>
          <w:sz w:val="23"/>
          <w:szCs w:val="23"/>
        </w:rPr>
        <w:t>zabilježena</w:t>
      </w:r>
      <w:proofErr w:type="spellEnd"/>
      <w:r>
        <w:rPr>
          <w:color w:val="404040"/>
          <w:sz w:val="23"/>
          <w:szCs w:val="23"/>
        </w:rPr>
        <w:t xml:space="preserve"> </w:t>
      </w:r>
      <w:proofErr w:type="spellStart"/>
      <w:r>
        <w:rPr>
          <w:color w:val="404040"/>
          <w:sz w:val="23"/>
          <w:szCs w:val="23"/>
        </w:rPr>
        <w:t>promjena</w:t>
      </w:r>
      <w:proofErr w:type="spellEnd"/>
      <w:r>
        <w:rPr>
          <w:color w:val="404040"/>
          <w:sz w:val="23"/>
          <w:szCs w:val="23"/>
        </w:rPr>
        <w:t xml:space="preserve"> </w:t>
      </w:r>
      <w:proofErr w:type="spellStart"/>
      <w:r>
        <w:rPr>
          <w:color w:val="404040"/>
          <w:sz w:val="23"/>
          <w:szCs w:val="23"/>
        </w:rPr>
        <w:t>jednaka</w:t>
      </w:r>
      <w:proofErr w:type="spellEnd"/>
      <w:r>
        <w:rPr>
          <w:color w:val="404040"/>
          <w:sz w:val="23"/>
          <w:szCs w:val="23"/>
        </w:rPr>
        <w:t xml:space="preserve"> je </w:t>
      </w:r>
      <w:proofErr w:type="spellStart"/>
      <w:r>
        <w:rPr>
          <w:color w:val="404040"/>
          <w:sz w:val="23"/>
          <w:szCs w:val="23"/>
        </w:rPr>
        <w:t>apsolutnom</w:t>
      </w:r>
      <w:proofErr w:type="spellEnd"/>
      <w:r>
        <w:rPr>
          <w:color w:val="404040"/>
          <w:sz w:val="23"/>
          <w:szCs w:val="23"/>
        </w:rPr>
        <w:t xml:space="preserve"> </w:t>
      </w:r>
      <w:proofErr w:type="spellStart"/>
      <w:r>
        <w:rPr>
          <w:color w:val="404040"/>
          <w:sz w:val="23"/>
          <w:szCs w:val="23"/>
        </w:rPr>
        <w:t>iznosu</w:t>
      </w:r>
      <w:proofErr w:type="spellEnd"/>
      <w:r>
        <w:rPr>
          <w:color w:val="404040"/>
          <w:sz w:val="23"/>
          <w:szCs w:val="23"/>
        </w:rPr>
        <w:t xml:space="preserve"> od 52.954,78 €.</w:t>
      </w:r>
      <w:r>
        <w:rPr>
          <w:rFonts w:eastAsia="Helvetica Neue"/>
          <w:b/>
          <w:bCs/>
          <w:noProof/>
          <w:color w:val="404040"/>
        </w:rPr>
        <w:t xml:space="preserve"> </w:t>
      </w:r>
    </w:p>
    <w:p w14:paraId="30546D87" w14:textId="77777777" w:rsidR="00747201" w:rsidRDefault="00747201">
      <w:pPr>
        <w:pStyle w:val="Default"/>
        <w:spacing w:line="276" w:lineRule="auto"/>
        <w:jc w:val="both"/>
        <w:rPr>
          <w:color w:val="404040"/>
          <w:sz w:val="23"/>
          <w:szCs w:val="23"/>
        </w:rPr>
      </w:pPr>
    </w:p>
    <w:p w14:paraId="30546D88" w14:textId="77777777" w:rsidR="00747201" w:rsidRDefault="00FC772B">
      <w:pPr>
        <w:pStyle w:val="Default"/>
        <w:spacing w:line="276" w:lineRule="auto"/>
        <w:ind w:firstLine="708"/>
        <w:jc w:val="both"/>
        <w:rPr>
          <w:color w:val="404040"/>
          <w:sz w:val="23"/>
          <w:szCs w:val="23"/>
        </w:rPr>
      </w:pPr>
      <w:r>
        <w:rPr>
          <w:b/>
          <w:color w:val="404040"/>
          <w:sz w:val="23"/>
          <w:szCs w:val="23"/>
        </w:rPr>
        <w:t>Poslovni prihodi</w:t>
      </w:r>
    </w:p>
    <w:p w14:paraId="30546D89" w14:textId="77777777" w:rsidR="00747201" w:rsidRDefault="00FC772B">
      <w:pPr>
        <w:pStyle w:val="Default"/>
        <w:spacing w:line="276" w:lineRule="auto"/>
        <w:ind w:firstLine="708"/>
        <w:jc w:val="both"/>
        <w:rPr>
          <w:color w:val="404040"/>
          <w:sz w:val="23"/>
          <w:szCs w:val="23"/>
        </w:rPr>
      </w:pPr>
      <w:r>
        <w:rPr>
          <w:color w:val="404040"/>
          <w:sz w:val="23"/>
          <w:szCs w:val="23"/>
        </w:rPr>
        <w:t>sastoje se od tri vrste prihoda, a to su prihodi od prodaje (I.), prihodi na temelju upotrebe vlastitih proizvoda, robe i usluga (II.) te ostalih poslovnih prihoda (III.) a koji su ostvareni unutar i izvan grupe (IV.).</w:t>
      </w:r>
    </w:p>
    <w:p w14:paraId="30546D8A" w14:textId="77777777" w:rsidR="00747201" w:rsidRDefault="00FC772B">
      <w:pPr>
        <w:pStyle w:val="Default"/>
        <w:spacing w:line="276" w:lineRule="auto"/>
        <w:jc w:val="both"/>
        <w:rPr>
          <w:color w:val="404040"/>
          <w:sz w:val="23"/>
          <w:szCs w:val="23"/>
        </w:rPr>
      </w:pPr>
      <w:r>
        <w:rPr>
          <w:color w:val="404040"/>
          <w:sz w:val="23"/>
          <w:szCs w:val="23"/>
        </w:rPr>
        <w:tab/>
        <w:t>Analizirajući strukturu ukupnih prihoda, iznos poslovnih prihoda Društva u 2024. godini je 182.827,20 € čiji udio u ukupnim prihodima iznosi 100,00 %, a to je promjena za 40,77 % u odnosu na prethodnu godinu.</w:t>
      </w:r>
    </w:p>
    <w:p w14:paraId="30546D8B" w14:textId="77777777" w:rsidR="00747201" w:rsidRDefault="00747201">
      <w:pPr>
        <w:pStyle w:val="Default"/>
        <w:spacing w:line="276" w:lineRule="auto"/>
        <w:jc w:val="both"/>
        <w:rPr>
          <w:color w:val="404040"/>
          <w:sz w:val="23"/>
          <w:szCs w:val="23"/>
        </w:rPr>
      </w:pPr>
    </w:p>
    <w:p w14:paraId="30546D8C" w14:textId="77777777" w:rsidR="00747201" w:rsidRDefault="00FC772B">
      <w:pPr>
        <w:pStyle w:val="Default"/>
        <w:spacing w:line="276" w:lineRule="auto"/>
        <w:ind w:firstLine="708"/>
        <w:jc w:val="both"/>
        <w:rPr>
          <w:color w:val="404040"/>
          <w:sz w:val="23"/>
          <w:szCs w:val="23"/>
        </w:rPr>
      </w:pPr>
      <w:r>
        <w:rPr>
          <w:color w:val="404040"/>
          <w:sz w:val="23"/>
          <w:szCs w:val="23"/>
        </w:rPr>
        <w:t>Ukupni financijski prihodi podijeljeni su u 5 glavnih vrsta.</w:t>
      </w:r>
    </w:p>
    <w:p w14:paraId="30546D8D" w14:textId="77777777" w:rsidR="00747201" w:rsidRDefault="00747201">
      <w:pPr>
        <w:pStyle w:val="Default"/>
        <w:spacing w:line="276" w:lineRule="auto"/>
        <w:jc w:val="both"/>
        <w:rPr>
          <w:color w:val="404040"/>
          <w:sz w:val="23"/>
          <w:szCs w:val="23"/>
        </w:rPr>
      </w:pPr>
    </w:p>
    <w:p w14:paraId="30546D8E" w14:textId="77777777" w:rsidR="00747201" w:rsidRDefault="00FC772B">
      <w:pPr>
        <w:pStyle w:val="Default"/>
        <w:spacing w:line="276" w:lineRule="auto"/>
        <w:jc w:val="both"/>
        <w:rPr>
          <w:color w:val="404040"/>
          <w:sz w:val="23"/>
          <w:szCs w:val="23"/>
        </w:rPr>
      </w:pPr>
      <w:r>
        <w:rPr>
          <w:color w:val="404040"/>
          <w:sz w:val="23"/>
          <w:szCs w:val="23"/>
        </w:rPr>
        <w:tab/>
      </w:r>
      <w:r>
        <w:rPr>
          <w:b/>
          <w:color w:val="404040"/>
          <w:sz w:val="23"/>
          <w:szCs w:val="23"/>
        </w:rPr>
        <w:t>Financijski prihodi</w:t>
      </w:r>
    </w:p>
    <w:p w14:paraId="30546D8F" w14:textId="77777777" w:rsidR="00747201" w:rsidRDefault="00FC772B">
      <w:pPr>
        <w:pStyle w:val="Default"/>
        <w:spacing w:line="276" w:lineRule="auto"/>
        <w:jc w:val="both"/>
        <w:rPr>
          <w:color w:val="404040"/>
          <w:sz w:val="23"/>
          <w:szCs w:val="23"/>
        </w:rPr>
      </w:pPr>
      <w:r>
        <w:rPr>
          <w:color w:val="404040"/>
          <w:sz w:val="23"/>
          <w:szCs w:val="23"/>
        </w:rPr>
        <w:tab/>
        <w:t>Društva su oni prihodi koji su ostvareni s osnove tečajnih razlika (I.),  kamata (II.), od ulaganja u dionice (III.), od zajmova (IV.) i ostalih financijskih prihoda (V.). Oni su ostvareni izvan i/ili unutar grupe.</w:t>
      </w:r>
    </w:p>
    <w:p w14:paraId="30546D90" w14:textId="77777777" w:rsidR="00747201" w:rsidRDefault="00747201">
      <w:pPr>
        <w:pStyle w:val="Default"/>
        <w:spacing w:line="276" w:lineRule="auto"/>
        <w:jc w:val="both"/>
        <w:rPr>
          <w:color w:val="404040"/>
          <w:sz w:val="23"/>
          <w:szCs w:val="23"/>
        </w:rPr>
      </w:pPr>
    </w:p>
    <w:p w14:paraId="30546D91" w14:textId="77777777" w:rsidR="00747201" w:rsidRDefault="00FC772B">
      <w:pPr>
        <w:pStyle w:val="Default"/>
        <w:spacing w:line="276" w:lineRule="auto"/>
        <w:jc w:val="both"/>
        <w:rPr>
          <w:color w:val="404040"/>
          <w:sz w:val="23"/>
          <w:szCs w:val="23"/>
        </w:rPr>
      </w:pPr>
      <w:r>
        <w:rPr>
          <w:color w:val="404040"/>
          <w:sz w:val="23"/>
          <w:szCs w:val="23"/>
        </w:rPr>
        <w:tab/>
      </w:r>
      <w:r>
        <w:rPr>
          <w:b/>
          <w:color w:val="404040"/>
          <w:sz w:val="23"/>
          <w:szCs w:val="23"/>
        </w:rPr>
        <w:t>Ukupni financijski prihodi</w:t>
      </w:r>
    </w:p>
    <w:p w14:paraId="30546D92" w14:textId="77777777" w:rsidR="00747201" w:rsidRDefault="00FC772B">
      <w:pPr>
        <w:pStyle w:val="Default"/>
        <w:spacing w:line="276" w:lineRule="auto"/>
        <w:jc w:val="both"/>
        <w:rPr>
          <w:color w:val="404040"/>
          <w:sz w:val="23"/>
          <w:szCs w:val="23"/>
        </w:rPr>
      </w:pPr>
      <w:r>
        <w:rPr>
          <w:color w:val="404040"/>
          <w:sz w:val="23"/>
          <w:szCs w:val="23"/>
        </w:rPr>
        <w:tab/>
        <w:t>izvještajne godine iznose 2,39 € što je promjena za 104,27 % u odnosu na prethodnu godinu. U ukupnim prihodima sudjeluju sa 0,00 %.</w:t>
      </w:r>
    </w:p>
    <w:p w14:paraId="30546D93" w14:textId="77777777" w:rsidR="00747201" w:rsidRDefault="00747201">
      <w:pPr>
        <w:pStyle w:val="Default"/>
        <w:spacing w:line="276" w:lineRule="auto"/>
        <w:jc w:val="both"/>
        <w:rPr>
          <w:rFonts w:eastAsia="Helvetica Neue"/>
          <w:b/>
          <w:bCs/>
          <w:noProof/>
          <w:color w:val="404040"/>
          <w:sz w:val="23"/>
          <w:szCs w:val="23"/>
        </w:rPr>
      </w:pPr>
    </w:p>
    <w:p w14:paraId="30546D94" w14:textId="77777777" w:rsidR="00747201" w:rsidRDefault="00747201">
      <w:pPr>
        <w:pStyle w:val="Default"/>
        <w:spacing w:line="276" w:lineRule="auto"/>
        <w:jc w:val="both"/>
        <w:rPr>
          <w:rFonts w:eastAsia="Helvetica Neue"/>
          <w:b/>
          <w:bCs/>
          <w:noProof/>
          <w:color w:val="404040"/>
          <w:sz w:val="23"/>
          <w:szCs w:val="23"/>
        </w:rPr>
      </w:pPr>
    </w:p>
    <w:p w14:paraId="30546D95" w14:textId="77777777" w:rsidR="00747201" w:rsidRDefault="00747201">
      <w:pPr>
        <w:pStyle w:val="Default"/>
        <w:spacing w:line="276" w:lineRule="auto"/>
        <w:jc w:val="both"/>
        <w:rPr>
          <w:rFonts w:eastAsia="Helvetica Neue"/>
          <w:b/>
          <w:bCs/>
          <w:noProof/>
          <w:color w:val="404040"/>
          <w:sz w:val="23"/>
          <w:szCs w:val="23"/>
        </w:rPr>
      </w:pPr>
    </w:p>
    <w:p w14:paraId="30546D96" w14:textId="77777777" w:rsidR="00747201" w:rsidRDefault="00747201">
      <w:pPr>
        <w:pStyle w:val="Default"/>
        <w:spacing w:line="276" w:lineRule="auto"/>
        <w:jc w:val="both"/>
        <w:rPr>
          <w:rFonts w:eastAsia="Helvetica Neue"/>
          <w:b/>
          <w:bCs/>
          <w:noProof/>
          <w:color w:val="404040"/>
          <w:sz w:val="23"/>
          <w:szCs w:val="23"/>
        </w:rPr>
      </w:pPr>
    </w:p>
    <w:p w14:paraId="30546D97" w14:textId="77777777" w:rsidR="00747201" w:rsidRDefault="00747201">
      <w:pPr>
        <w:pStyle w:val="Default"/>
        <w:spacing w:line="276" w:lineRule="auto"/>
        <w:jc w:val="both"/>
        <w:rPr>
          <w:rFonts w:eastAsia="Helvetica Neue"/>
          <w:b/>
          <w:bCs/>
          <w:noProof/>
          <w:color w:val="404040"/>
          <w:sz w:val="23"/>
          <w:szCs w:val="23"/>
        </w:rPr>
      </w:pPr>
    </w:p>
    <w:p w14:paraId="30546D98" w14:textId="77777777" w:rsidR="00747201" w:rsidRDefault="00747201">
      <w:pPr>
        <w:pStyle w:val="Default"/>
        <w:spacing w:line="276" w:lineRule="auto"/>
        <w:jc w:val="both"/>
        <w:rPr>
          <w:rFonts w:eastAsia="Helvetica Neue"/>
          <w:b/>
          <w:bCs/>
          <w:noProof/>
          <w:color w:val="404040"/>
          <w:sz w:val="23"/>
          <w:szCs w:val="23"/>
        </w:rPr>
      </w:pPr>
    </w:p>
    <w:p w14:paraId="30546D99" w14:textId="77777777" w:rsidR="00747201" w:rsidRDefault="00747201">
      <w:pPr>
        <w:pStyle w:val="Default"/>
        <w:spacing w:line="276" w:lineRule="auto"/>
        <w:jc w:val="both"/>
        <w:rPr>
          <w:rFonts w:eastAsia="Helvetica Neue"/>
          <w:b/>
          <w:bCs/>
          <w:noProof/>
          <w:color w:val="404040"/>
          <w:sz w:val="23"/>
          <w:szCs w:val="23"/>
        </w:rPr>
      </w:pPr>
    </w:p>
    <w:p w14:paraId="30546D9A" w14:textId="77777777" w:rsidR="00747201" w:rsidRDefault="00747201">
      <w:pPr>
        <w:pStyle w:val="Default"/>
        <w:spacing w:line="276" w:lineRule="auto"/>
        <w:jc w:val="both"/>
        <w:rPr>
          <w:rFonts w:eastAsia="Helvetica Neue"/>
          <w:b/>
          <w:bCs/>
          <w:noProof/>
          <w:color w:val="404040"/>
          <w:sz w:val="23"/>
          <w:szCs w:val="23"/>
        </w:rPr>
      </w:pPr>
    </w:p>
    <w:p w14:paraId="30546D9B" w14:textId="77777777" w:rsidR="00747201" w:rsidRDefault="00747201">
      <w:pPr>
        <w:pStyle w:val="Default"/>
        <w:spacing w:line="276" w:lineRule="auto"/>
        <w:jc w:val="both"/>
        <w:rPr>
          <w:rFonts w:eastAsia="Helvetica Neue"/>
          <w:b/>
          <w:bCs/>
          <w:noProof/>
          <w:color w:val="404040"/>
          <w:sz w:val="23"/>
          <w:szCs w:val="23"/>
        </w:rPr>
      </w:pPr>
    </w:p>
    <w:p w14:paraId="30546D9C" w14:textId="77777777" w:rsidR="00747201" w:rsidRDefault="00FC772B">
      <w:pPr>
        <w:pStyle w:val="Default"/>
        <w:spacing w:line="276" w:lineRule="auto"/>
        <w:jc w:val="center"/>
        <w:rPr>
          <w:color w:val="404040"/>
          <w:sz w:val="23"/>
          <w:szCs w:val="23"/>
        </w:rPr>
      </w:pPr>
      <w:r>
        <w:rPr>
          <w:noProof/>
        </w:rPr>
        <w:drawing>
          <wp:inline distT="0" distB="0" distL="0" distR="0" wp14:anchorId="30546E1E" wp14:editId="30546E1F">
            <wp:extent cx="4062529" cy="1365250"/>
            <wp:effectExtent l="0" t="0" r="0" b="6350"/>
            <wp:docPr id="3" name="Диаграмма 38" title="chart_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0546D9D" w14:textId="77777777" w:rsidR="00747201" w:rsidRDefault="00747201">
      <w:pPr>
        <w:pStyle w:val="Default"/>
        <w:spacing w:line="276" w:lineRule="auto"/>
        <w:jc w:val="center"/>
        <w:rPr>
          <w:b/>
          <w:color w:val="404040"/>
          <w:sz w:val="23"/>
          <w:szCs w:val="23"/>
        </w:rPr>
      </w:pPr>
    </w:p>
    <w:p w14:paraId="30546D9E" w14:textId="77777777" w:rsidR="00747201" w:rsidRDefault="00747201">
      <w:pPr>
        <w:pStyle w:val="Default"/>
        <w:spacing w:line="276" w:lineRule="auto"/>
        <w:jc w:val="both"/>
        <w:rPr>
          <w:b/>
          <w:color w:val="404040"/>
          <w:sz w:val="23"/>
          <w:szCs w:val="23"/>
        </w:rPr>
      </w:pPr>
    </w:p>
    <w:p w14:paraId="30546D9F" w14:textId="77777777" w:rsidR="00747201" w:rsidRDefault="00FC772B">
      <w:pPr>
        <w:pStyle w:val="Default"/>
        <w:spacing w:line="276" w:lineRule="auto"/>
        <w:ind w:firstLine="708"/>
        <w:jc w:val="both"/>
        <w:rPr>
          <w:b/>
          <w:color w:val="404040"/>
          <w:sz w:val="23"/>
          <w:szCs w:val="23"/>
        </w:rPr>
      </w:pPr>
      <w:r>
        <w:rPr>
          <w:b/>
          <w:color w:val="404040"/>
          <w:sz w:val="23"/>
          <w:szCs w:val="23"/>
        </w:rPr>
        <w:t>RASHODI</w:t>
      </w:r>
    </w:p>
    <w:p w14:paraId="30546DA0" w14:textId="77777777" w:rsidR="00747201" w:rsidRDefault="00747201">
      <w:pPr>
        <w:pStyle w:val="Default"/>
        <w:spacing w:line="276" w:lineRule="auto"/>
        <w:jc w:val="both"/>
        <w:rPr>
          <w:b/>
          <w:color w:val="404040"/>
          <w:sz w:val="23"/>
          <w:szCs w:val="23"/>
        </w:rPr>
      </w:pPr>
    </w:p>
    <w:p w14:paraId="30546DA1" w14:textId="77777777" w:rsidR="00747201" w:rsidRDefault="00FC772B">
      <w:pPr>
        <w:pStyle w:val="Default"/>
        <w:spacing w:line="276" w:lineRule="auto"/>
        <w:ind w:firstLine="708"/>
        <w:jc w:val="both"/>
        <w:rPr>
          <w:color w:val="404040"/>
          <w:sz w:val="23"/>
          <w:szCs w:val="23"/>
        </w:rPr>
      </w:pPr>
      <w:r>
        <w:rPr>
          <w:b/>
          <w:color w:val="404040"/>
          <w:sz w:val="23"/>
          <w:szCs w:val="23"/>
        </w:rPr>
        <w:t>Ukupni rashodi</w:t>
      </w:r>
    </w:p>
    <w:p w14:paraId="30546DA2" w14:textId="77777777" w:rsidR="00747201" w:rsidRDefault="00FC772B">
      <w:pPr>
        <w:pStyle w:val="Default"/>
        <w:spacing w:line="276" w:lineRule="auto"/>
        <w:ind w:firstLine="708"/>
        <w:jc w:val="both"/>
        <w:rPr>
          <w:color w:val="404040"/>
          <w:sz w:val="23"/>
          <w:szCs w:val="23"/>
        </w:rPr>
      </w:pPr>
      <w:r>
        <w:rPr>
          <w:color w:val="404040"/>
          <w:sz w:val="23"/>
          <w:szCs w:val="23"/>
        </w:rPr>
        <w:t>Društva Eko Promina d.o.o. u 2024. godini iznose 172.619,02 €, dok su prethodne godine iznosili 128.533,01 €, što znači da je zabilježena promjena od 34,30 %, odnosno zabilježena je promjena u apsolutnom iznosu od 44.086,01 €.</w:t>
      </w:r>
    </w:p>
    <w:p w14:paraId="30546DA3" w14:textId="77777777" w:rsidR="00747201" w:rsidRDefault="00747201">
      <w:pPr>
        <w:pStyle w:val="Default"/>
        <w:spacing w:line="276" w:lineRule="auto"/>
        <w:jc w:val="both"/>
        <w:rPr>
          <w:color w:val="404040"/>
          <w:sz w:val="23"/>
          <w:szCs w:val="23"/>
        </w:rPr>
      </w:pPr>
    </w:p>
    <w:p w14:paraId="30546DA4" w14:textId="77777777" w:rsidR="00747201" w:rsidRDefault="00FC772B">
      <w:pPr>
        <w:pStyle w:val="Default"/>
        <w:spacing w:line="276" w:lineRule="auto"/>
        <w:ind w:firstLine="708"/>
        <w:jc w:val="both"/>
        <w:rPr>
          <w:color w:val="404040"/>
          <w:sz w:val="23"/>
          <w:szCs w:val="23"/>
        </w:rPr>
      </w:pPr>
      <w:r>
        <w:rPr>
          <w:b/>
          <w:color w:val="404040"/>
          <w:sz w:val="23"/>
          <w:szCs w:val="23"/>
        </w:rPr>
        <w:t>Poslovni rashodi</w:t>
      </w:r>
    </w:p>
    <w:p w14:paraId="30546DA5" w14:textId="77777777" w:rsidR="00747201" w:rsidRDefault="00FC772B">
      <w:pPr>
        <w:pStyle w:val="Default"/>
        <w:spacing w:line="276" w:lineRule="auto"/>
        <w:ind w:firstLine="708"/>
        <w:jc w:val="both"/>
        <w:rPr>
          <w:color w:val="404040"/>
          <w:sz w:val="23"/>
          <w:szCs w:val="23"/>
        </w:rPr>
      </w:pPr>
      <w:r>
        <w:rPr>
          <w:color w:val="404040"/>
          <w:sz w:val="23"/>
          <w:szCs w:val="23"/>
        </w:rPr>
        <w:t>trgovačkog društva Eko Promina d.o.o., kao strukturni dio ukupnih rashoda, iznose 172.619,02 €. U odnosu na prethodnu godinu to je promjena od 44.086,01 €. U strukturi ukupnih rashoda, poslovni rashodi sudjeluju sa 100,00 %.</w:t>
      </w:r>
    </w:p>
    <w:p w14:paraId="30546DA6" w14:textId="77777777" w:rsidR="00747201" w:rsidRDefault="00747201">
      <w:pPr>
        <w:pStyle w:val="Default"/>
        <w:spacing w:line="276" w:lineRule="auto"/>
        <w:jc w:val="both"/>
        <w:rPr>
          <w:color w:val="404040"/>
          <w:sz w:val="23"/>
          <w:szCs w:val="23"/>
        </w:rPr>
      </w:pPr>
    </w:p>
    <w:p w14:paraId="30546DA7" w14:textId="77777777" w:rsidR="00747201" w:rsidRDefault="00FC772B">
      <w:pPr>
        <w:pStyle w:val="Default"/>
        <w:spacing w:line="276" w:lineRule="auto"/>
        <w:ind w:firstLine="708"/>
        <w:jc w:val="both"/>
        <w:rPr>
          <w:color w:val="404040"/>
          <w:sz w:val="23"/>
          <w:szCs w:val="23"/>
        </w:rPr>
      </w:pPr>
      <w:r>
        <w:rPr>
          <w:color w:val="404040"/>
          <w:sz w:val="23"/>
          <w:szCs w:val="23"/>
        </w:rPr>
        <w:t>Od većih poslovnih troškova izdvajamo materijalne troškove koji su u odnosu na prethodnu godinu zabilježili promjenu od 49,75 % tj. za 25.141,19 €, zatim troškove osoblja koji obuhvaćaju plaće, nadnice, doprinose i poreze, promijenili su se za 31,71 %, tj. 19.043,17 € te amortizacija i vrijednosna usklađenja za -15,49 %, tj. -100,00 %, recipročno.</w:t>
      </w:r>
    </w:p>
    <w:p w14:paraId="30546DA8" w14:textId="77777777" w:rsidR="00747201" w:rsidRDefault="00747201">
      <w:pPr>
        <w:pStyle w:val="Default"/>
        <w:spacing w:line="276" w:lineRule="auto"/>
        <w:jc w:val="both"/>
        <w:rPr>
          <w:color w:val="404040"/>
          <w:sz w:val="23"/>
          <w:szCs w:val="23"/>
        </w:rPr>
      </w:pPr>
    </w:p>
    <w:p w14:paraId="30546DA9" w14:textId="77777777" w:rsidR="00747201" w:rsidRDefault="00FC772B">
      <w:pPr>
        <w:pStyle w:val="Default"/>
        <w:spacing w:line="276" w:lineRule="auto"/>
        <w:jc w:val="both"/>
        <w:rPr>
          <w:color w:val="404040"/>
          <w:sz w:val="23"/>
          <w:szCs w:val="23"/>
        </w:rPr>
      </w:pPr>
      <w:r>
        <w:rPr>
          <w:color w:val="404040"/>
          <w:sz w:val="23"/>
          <w:szCs w:val="23"/>
        </w:rPr>
        <w:tab/>
      </w:r>
      <w:r>
        <w:rPr>
          <w:b/>
          <w:color w:val="404040"/>
          <w:sz w:val="23"/>
          <w:szCs w:val="23"/>
        </w:rPr>
        <w:t>Financijski rashodi</w:t>
      </w:r>
      <w:r>
        <w:rPr>
          <w:color w:val="404040"/>
          <w:sz w:val="23"/>
          <w:szCs w:val="23"/>
        </w:rPr>
        <w:t>, kao strukturni dio ukupnih rashoda, iznose 0,00 € u 2024. godini. Navedeni iznos označava promjenu za 0,00 €, tj. promjenu od 0,00 %.</w:t>
      </w:r>
    </w:p>
    <w:p w14:paraId="30546DAA" w14:textId="77777777" w:rsidR="00747201" w:rsidRDefault="00747201">
      <w:pPr>
        <w:pStyle w:val="Default"/>
        <w:spacing w:line="276" w:lineRule="auto"/>
        <w:jc w:val="both"/>
        <w:rPr>
          <w:color w:val="404040"/>
          <w:sz w:val="23"/>
          <w:szCs w:val="23"/>
        </w:rPr>
      </w:pPr>
    </w:p>
    <w:p w14:paraId="30546DAB" w14:textId="77777777" w:rsidR="00747201" w:rsidRDefault="00747201">
      <w:pPr>
        <w:pStyle w:val="Default"/>
        <w:spacing w:line="276" w:lineRule="auto"/>
        <w:jc w:val="both"/>
        <w:rPr>
          <w:color w:val="404040"/>
          <w:sz w:val="23"/>
          <w:szCs w:val="23"/>
        </w:rPr>
      </w:pPr>
    </w:p>
    <w:p w14:paraId="30546DAC" w14:textId="77777777" w:rsidR="00747201" w:rsidRDefault="00747201">
      <w:pPr>
        <w:pStyle w:val="Default"/>
        <w:spacing w:line="276" w:lineRule="auto"/>
        <w:jc w:val="both"/>
        <w:rPr>
          <w:color w:val="404040"/>
          <w:sz w:val="23"/>
          <w:szCs w:val="23"/>
        </w:rPr>
      </w:pPr>
    </w:p>
    <w:p w14:paraId="30546DAD" w14:textId="77777777" w:rsidR="00747201" w:rsidRDefault="00FC772B">
      <w:pPr>
        <w:pStyle w:val="Default"/>
        <w:spacing w:line="276" w:lineRule="auto"/>
        <w:ind w:firstLine="708"/>
        <w:jc w:val="both"/>
        <w:rPr>
          <w:b/>
          <w:color w:val="404040"/>
          <w:sz w:val="23"/>
          <w:szCs w:val="23"/>
        </w:rPr>
      </w:pPr>
      <w:r>
        <w:rPr>
          <w:b/>
          <w:color w:val="404040"/>
          <w:sz w:val="23"/>
          <w:szCs w:val="23"/>
        </w:rPr>
        <w:t>POSLOVNI REZULTAT</w:t>
      </w:r>
    </w:p>
    <w:p w14:paraId="30546DAE" w14:textId="77777777" w:rsidR="00747201" w:rsidRDefault="00FC772B">
      <w:pPr>
        <w:pStyle w:val="Default"/>
        <w:spacing w:line="276" w:lineRule="auto"/>
        <w:jc w:val="center"/>
        <w:rPr>
          <w:color w:val="404040"/>
          <w:sz w:val="23"/>
          <w:szCs w:val="23"/>
        </w:rPr>
      </w:pPr>
      <w:r>
        <w:rPr>
          <w:noProof/>
        </w:rPr>
        <w:drawing>
          <wp:inline distT="0" distB="0" distL="0" distR="0" wp14:anchorId="30546E20" wp14:editId="30546E21">
            <wp:extent cx="5792400" cy="2160000"/>
            <wp:effectExtent l="0" t="0" r="0" b="0"/>
            <wp:docPr id="4" name="Диаграмма 41" title="chart_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0546DAF" w14:textId="77777777" w:rsidR="00747201" w:rsidRDefault="00747201">
      <w:pPr>
        <w:pStyle w:val="Default"/>
        <w:spacing w:line="276" w:lineRule="auto"/>
        <w:jc w:val="center"/>
        <w:rPr>
          <w:color w:val="404040"/>
          <w:sz w:val="23"/>
          <w:szCs w:val="23"/>
        </w:rPr>
      </w:pPr>
    </w:p>
    <w:p w14:paraId="30546DB0" w14:textId="77777777" w:rsidR="00747201" w:rsidRDefault="00747201">
      <w:pPr>
        <w:pStyle w:val="Default"/>
        <w:spacing w:line="276" w:lineRule="auto"/>
        <w:jc w:val="center"/>
        <w:rPr>
          <w:color w:val="404040"/>
          <w:sz w:val="23"/>
          <w:szCs w:val="23"/>
        </w:rPr>
      </w:pPr>
    </w:p>
    <w:p w14:paraId="30546DB1" w14:textId="77777777" w:rsidR="00747201" w:rsidRDefault="00747201">
      <w:pPr>
        <w:pStyle w:val="Default"/>
        <w:spacing w:line="276" w:lineRule="auto"/>
        <w:jc w:val="center"/>
        <w:rPr>
          <w:color w:val="404040"/>
          <w:sz w:val="23"/>
          <w:szCs w:val="23"/>
        </w:rPr>
      </w:pPr>
    </w:p>
    <w:p w14:paraId="30546DB2" w14:textId="77777777" w:rsidR="00747201" w:rsidRDefault="00747201">
      <w:pPr>
        <w:pStyle w:val="Default"/>
        <w:spacing w:line="276" w:lineRule="auto"/>
        <w:jc w:val="center"/>
        <w:rPr>
          <w:color w:val="404040"/>
          <w:sz w:val="23"/>
          <w:szCs w:val="23"/>
        </w:rPr>
      </w:pPr>
    </w:p>
    <w:p w14:paraId="30546DB3" w14:textId="77777777" w:rsidR="00747201" w:rsidRDefault="00FC772B">
      <w:pPr>
        <w:pStyle w:val="Default"/>
        <w:spacing w:line="276" w:lineRule="auto"/>
        <w:ind w:firstLine="708"/>
        <w:jc w:val="both"/>
        <w:rPr>
          <w:color w:val="404040"/>
          <w:sz w:val="23"/>
          <w:szCs w:val="23"/>
        </w:rPr>
      </w:pPr>
      <w:r>
        <w:rPr>
          <w:b/>
          <w:color w:val="404040"/>
          <w:sz w:val="23"/>
          <w:szCs w:val="23"/>
        </w:rPr>
        <w:t>Rezultat poslovanja prije oporezivanja</w:t>
      </w:r>
    </w:p>
    <w:p w14:paraId="30546DB4" w14:textId="77777777" w:rsidR="00747201" w:rsidRDefault="00747201">
      <w:pPr>
        <w:pStyle w:val="Default"/>
        <w:spacing w:line="276" w:lineRule="auto"/>
        <w:jc w:val="both"/>
        <w:rPr>
          <w:b/>
          <w:color w:val="404040"/>
          <w:sz w:val="23"/>
          <w:szCs w:val="23"/>
        </w:rPr>
      </w:pPr>
    </w:p>
    <w:p w14:paraId="30546DB5" w14:textId="77777777" w:rsidR="00747201" w:rsidRDefault="00FC772B">
      <w:pPr>
        <w:pStyle w:val="Default"/>
        <w:spacing w:line="276" w:lineRule="auto"/>
        <w:jc w:val="both"/>
        <w:rPr>
          <w:color w:val="404040"/>
          <w:sz w:val="23"/>
          <w:szCs w:val="23"/>
        </w:rPr>
      </w:pPr>
      <w:r>
        <w:rPr>
          <w:color w:val="404040"/>
          <w:sz w:val="23"/>
          <w:szCs w:val="23"/>
        </w:rPr>
        <w:tab/>
        <w:t>Poslovni rezultat prije oporezivanja dobiven je oduzimanjem ukupnih rashoda od ukupnih prihoda. Tako je trgovačko društvo Eko Promina d.o.o. u 2024. godini ostvarilo rezultat u iznosu 10.210,57 €, tj. Pozitivna razlika prihoda i rashoda razdoblja predstavlja ostvarenu dobit prije oporezivanja u iznosu od 10.210,57 €, odnosno negativnu razliku (gubitak) u iznosu 0,00 €.</w:t>
      </w:r>
    </w:p>
    <w:p w14:paraId="30546DB6" w14:textId="77777777" w:rsidR="00747201" w:rsidRDefault="00747201">
      <w:pPr>
        <w:pStyle w:val="Default"/>
        <w:spacing w:line="276" w:lineRule="auto"/>
        <w:jc w:val="both"/>
        <w:rPr>
          <w:color w:val="404040"/>
          <w:sz w:val="23"/>
          <w:szCs w:val="23"/>
        </w:rPr>
      </w:pPr>
    </w:p>
    <w:p w14:paraId="30546DB7" w14:textId="77777777" w:rsidR="00747201" w:rsidRDefault="00FC772B">
      <w:pPr>
        <w:pStyle w:val="Default"/>
        <w:spacing w:line="276" w:lineRule="auto"/>
        <w:jc w:val="both"/>
        <w:rPr>
          <w:color w:val="404040"/>
          <w:sz w:val="23"/>
          <w:szCs w:val="23"/>
        </w:rPr>
      </w:pPr>
      <w:r>
        <w:rPr>
          <w:color w:val="404040"/>
          <w:sz w:val="23"/>
          <w:szCs w:val="23"/>
        </w:rPr>
        <w:tab/>
      </w:r>
      <w:r>
        <w:rPr>
          <w:color w:val="404040"/>
          <w:sz w:val="23"/>
          <w:szCs w:val="23"/>
        </w:rPr>
        <w:t>Prethodne godine poslovni rezultat iznosio je 1.341,80 €. Usporedivši izvještajnu godinu s prethodnom financijskom godinom, razlika u rezultatu iznosi 8.868,77 €, gledano u postocima to je 660,96 %.</w:t>
      </w:r>
    </w:p>
    <w:p w14:paraId="30546DB8" w14:textId="77777777" w:rsidR="00747201" w:rsidRDefault="00747201">
      <w:pPr>
        <w:pStyle w:val="Default"/>
        <w:spacing w:line="276" w:lineRule="auto"/>
        <w:jc w:val="both"/>
        <w:rPr>
          <w:color w:val="404040"/>
          <w:sz w:val="23"/>
          <w:szCs w:val="23"/>
        </w:rPr>
      </w:pPr>
    </w:p>
    <w:p w14:paraId="30546DB9" w14:textId="77777777" w:rsidR="00747201" w:rsidRDefault="00FC772B">
      <w:pPr>
        <w:pStyle w:val="Default"/>
        <w:spacing w:line="276" w:lineRule="auto"/>
        <w:ind w:firstLine="708"/>
        <w:jc w:val="both"/>
        <w:rPr>
          <w:b/>
          <w:color w:val="404040"/>
          <w:sz w:val="23"/>
          <w:szCs w:val="23"/>
        </w:rPr>
      </w:pPr>
      <w:r>
        <w:rPr>
          <w:b/>
          <w:color w:val="404040"/>
          <w:sz w:val="23"/>
          <w:szCs w:val="23"/>
        </w:rPr>
        <w:t>Rezultat poslovanja nakon oporezivanja</w:t>
      </w:r>
    </w:p>
    <w:p w14:paraId="30546DBA" w14:textId="77777777" w:rsidR="00747201" w:rsidRDefault="00747201">
      <w:pPr>
        <w:pStyle w:val="Default"/>
        <w:spacing w:line="276" w:lineRule="auto"/>
        <w:jc w:val="both"/>
        <w:rPr>
          <w:color w:val="404040"/>
          <w:sz w:val="23"/>
          <w:szCs w:val="23"/>
        </w:rPr>
      </w:pPr>
    </w:p>
    <w:p w14:paraId="30546DBB" w14:textId="77777777" w:rsidR="00747201" w:rsidRDefault="00FC772B">
      <w:pPr>
        <w:pStyle w:val="Default"/>
        <w:spacing w:line="276" w:lineRule="auto"/>
        <w:jc w:val="both"/>
        <w:rPr>
          <w:color w:val="404040"/>
          <w:sz w:val="23"/>
          <w:szCs w:val="23"/>
        </w:rPr>
      </w:pPr>
      <w:r>
        <w:rPr>
          <w:color w:val="404040"/>
          <w:sz w:val="23"/>
          <w:szCs w:val="23"/>
        </w:rPr>
        <w:tab/>
        <w:t>Obveza poreza na dobit utvrđuje se u skladu s važećim odredbama Zakona o porezu na dobit (NN 114/23) koja se primjenjuje na 2024. poslovnu godinu i utječe na rezultat poslovanja financijske godine. Društvo je na osnovicu od 10.210,57 obračunalo porez na dobit po pripadajućoj stopi prema odredbama Zakona o porezu na dobit.</w:t>
      </w:r>
    </w:p>
    <w:p w14:paraId="30546DBC" w14:textId="77777777" w:rsidR="00747201" w:rsidRDefault="00747201">
      <w:pPr>
        <w:pStyle w:val="Default"/>
        <w:spacing w:line="276" w:lineRule="auto"/>
        <w:jc w:val="both"/>
        <w:rPr>
          <w:color w:val="404040"/>
          <w:sz w:val="23"/>
          <w:szCs w:val="23"/>
        </w:rPr>
      </w:pPr>
    </w:p>
    <w:p w14:paraId="30546DBD" w14:textId="77777777" w:rsidR="00747201" w:rsidRDefault="00FC772B">
      <w:pPr>
        <w:pStyle w:val="Default"/>
        <w:spacing w:line="276" w:lineRule="auto"/>
        <w:ind w:firstLine="708"/>
        <w:jc w:val="both"/>
        <w:rPr>
          <w:color w:val="404040"/>
          <w:sz w:val="23"/>
          <w:szCs w:val="23"/>
        </w:rPr>
      </w:pPr>
      <w:r>
        <w:rPr>
          <w:b/>
          <w:color w:val="404040"/>
          <w:sz w:val="23"/>
          <w:szCs w:val="23"/>
        </w:rPr>
        <w:t>Porez na dobit</w:t>
      </w:r>
    </w:p>
    <w:p w14:paraId="30546DBE" w14:textId="77777777" w:rsidR="00747201" w:rsidRDefault="00FC772B">
      <w:pPr>
        <w:pStyle w:val="Default"/>
        <w:spacing w:line="276" w:lineRule="auto"/>
        <w:ind w:firstLine="708"/>
        <w:jc w:val="both"/>
        <w:rPr>
          <w:color w:val="404040"/>
          <w:sz w:val="23"/>
          <w:szCs w:val="23"/>
        </w:rPr>
      </w:pPr>
      <w:r>
        <w:rPr>
          <w:color w:val="404040"/>
          <w:sz w:val="23"/>
          <w:szCs w:val="23"/>
        </w:rPr>
        <w:t>iznosi 1.031,37 €.</w:t>
      </w:r>
    </w:p>
    <w:p w14:paraId="30546DBF" w14:textId="77777777" w:rsidR="00747201" w:rsidRDefault="00747201">
      <w:pPr>
        <w:pStyle w:val="Default"/>
        <w:spacing w:line="276" w:lineRule="auto"/>
        <w:jc w:val="both"/>
        <w:rPr>
          <w:color w:val="404040"/>
          <w:sz w:val="23"/>
          <w:szCs w:val="23"/>
        </w:rPr>
      </w:pPr>
    </w:p>
    <w:p w14:paraId="30546DC0" w14:textId="77777777" w:rsidR="00747201" w:rsidRDefault="00FC772B">
      <w:pPr>
        <w:pStyle w:val="Default"/>
        <w:spacing w:line="276" w:lineRule="auto"/>
        <w:ind w:firstLine="708"/>
        <w:jc w:val="both"/>
        <w:rPr>
          <w:color w:val="404040"/>
          <w:sz w:val="23"/>
          <w:szCs w:val="23"/>
        </w:rPr>
      </w:pPr>
      <w:r>
        <w:rPr>
          <w:b/>
          <w:color w:val="404040"/>
          <w:sz w:val="23"/>
          <w:szCs w:val="23"/>
        </w:rPr>
        <w:t>Poslovni rezultat</w:t>
      </w:r>
    </w:p>
    <w:p w14:paraId="30546DC1" w14:textId="77777777" w:rsidR="00747201" w:rsidRDefault="00FC772B">
      <w:pPr>
        <w:pStyle w:val="Default"/>
        <w:spacing w:line="276" w:lineRule="auto"/>
        <w:ind w:firstLine="708"/>
        <w:jc w:val="both"/>
        <w:rPr>
          <w:color w:val="404040"/>
          <w:sz w:val="23"/>
          <w:szCs w:val="23"/>
        </w:rPr>
      </w:pPr>
      <w:r>
        <w:rPr>
          <w:color w:val="404040"/>
          <w:sz w:val="23"/>
          <w:szCs w:val="23"/>
        </w:rPr>
        <w:t>Društva 2024. godine iznosi 9.179,20 €.</w:t>
      </w:r>
    </w:p>
    <w:p w14:paraId="30546DC2" w14:textId="77777777" w:rsidR="00747201" w:rsidRDefault="00747201">
      <w:pPr>
        <w:pStyle w:val="Default"/>
        <w:spacing w:line="276" w:lineRule="auto"/>
        <w:ind w:firstLine="708"/>
        <w:jc w:val="both"/>
        <w:rPr>
          <w:color w:val="404040"/>
          <w:sz w:val="23"/>
          <w:szCs w:val="23"/>
        </w:rPr>
      </w:pPr>
    </w:p>
    <w:p w14:paraId="30546DC3" w14:textId="77777777" w:rsidR="00747201" w:rsidRDefault="00747201">
      <w:pPr>
        <w:pStyle w:val="Default"/>
        <w:spacing w:line="276" w:lineRule="auto"/>
        <w:ind w:firstLine="708"/>
        <w:jc w:val="both"/>
        <w:rPr>
          <w:color w:val="404040"/>
          <w:sz w:val="23"/>
          <w:szCs w:val="23"/>
        </w:rPr>
      </w:pPr>
    </w:p>
    <w:p w14:paraId="30546DC5" w14:textId="77777777" w:rsidR="00747201" w:rsidRDefault="00747201">
      <w:pPr>
        <w:pStyle w:val="Default"/>
        <w:spacing w:line="276" w:lineRule="auto"/>
        <w:jc w:val="both"/>
        <w:rPr>
          <w:color w:val="404040"/>
          <w:sz w:val="23"/>
          <w:szCs w:val="23"/>
        </w:rPr>
      </w:pPr>
    </w:p>
    <w:p w14:paraId="30546DC6" w14:textId="77777777" w:rsidR="00747201" w:rsidRDefault="00FC772B">
      <w:pPr>
        <w:pStyle w:val="Default"/>
        <w:spacing w:line="276" w:lineRule="auto"/>
        <w:jc w:val="center"/>
        <w:rPr>
          <w:b/>
          <w:color w:val="404040"/>
          <w:sz w:val="32"/>
          <w:szCs w:val="32"/>
        </w:rPr>
      </w:pPr>
      <w:r>
        <w:rPr>
          <w:b/>
          <w:bCs/>
          <w:color w:val="404040"/>
          <w:sz w:val="32"/>
          <w:szCs w:val="32"/>
        </w:rPr>
        <w:t>BILANCA</w:t>
      </w:r>
    </w:p>
    <w:p w14:paraId="30546DC7" w14:textId="77777777" w:rsidR="00747201" w:rsidRDefault="00747201">
      <w:pPr>
        <w:pStyle w:val="Default"/>
        <w:spacing w:line="276" w:lineRule="auto"/>
        <w:jc w:val="both"/>
        <w:rPr>
          <w:b/>
          <w:bCs/>
          <w:color w:val="404040"/>
          <w:sz w:val="23"/>
          <w:szCs w:val="23"/>
        </w:rPr>
      </w:pPr>
    </w:p>
    <w:p w14:paraId="30546DC8" w14:textId="77777777" w:rsidR="00747201" w:rsidRDefault="00FC772B">
      <w:pPr>
        <w:pStyle w:val="Default"/>
        <w:spacing w:line="276" w:lineRule="auto"/>
        <w:ind w:left="708"/>
        <w:jc w:val="both"/>
        <w:rPr>
          <w:b/>
          <w:color w:val="404040"/>
          <w:sz w:val="28"/>
          <w:szCs w:val="28"/>
        </w:rPr>
      </w:pPr>
      <w:r>
        <w:rPr>
          <w:b/>
          <w:bCs/>
          <w:color w:val="404040"/>
          <w:sz w:val="28"/>
          <w:szCs w:val="28"/>
        </w:rPr>
        <w:t>AKTIVA</w:t>
      </w:r>
    </w:p>
    <w:p w14:paraId="30546DC9" w14:textId="77777777" w:rsidR="00747201" w:rsidRDefault="00747201">
      <w:pPr>
        <w:pStyle w:val="Default"/>
        <w:spacing w:line="276" w:lineRule="auto"/>
        <w:ind w:left="708"/>
        <w:jc w:val="both"/>
        <w:rPr>
          <w:b/>
          <w:bCs/>
          <w:color w:val="404040"/>
          <w:sz w:val="23"/>
          <w:szCs w:val="23"/>
        </w:rPr>
      </w:pPr>
    </w:p>
    <w:p w14:paraId="30546DCA" w14:textId="77777777" w:rsidR="00747201" w:rsidRDefault="00FC772B">
      <w:pPr>
        <w:pStyle w:val="Default"/>
        <w:spacing w:line="276" w:lineRule="auto"/>
        <w:ind w:firstLine="708"/>
        <w:jc w:val="both"/>
        <w:rPr>
          <w:bCs/>
          <w:color w:val="404040"/>
          <w:sz w:val="23"/>
          <w:szCs w:val="23"/>
        </w:rPr>
      </w:pPr>
      <w:r>
        <w:rPr>
          <w:b/>
          <w:bCs/>
          <w:color w:val="404040"/>
          <w:sz w:val="23"/>
          <w:szCs w:val="23"/>
        </w:rPr>
        <w:t>Ukupna imovina</w:t>
      </w:r>
    </w:p>
    <w:p w14:paraId="30546DCB" w14:textId="77777777" w:rsidR="00747201" w:rsidRDefault="00FC772B">
      <w:pPr>
        <w:pStyle w:val="Default"/>
        <w:spacing w:line="276" w:lineRule="auto"/>
        <w:ind w:firstLine="708"/>
        <w:jc w:val="both"/>
        <w:rPr>
          <w:bCs/>
          <w:color w:val="404040"/>
          <w:sz w:val="23"/>
          <w:szCs w:val="23"/>
        </w:rPr>
      </w:pPr>
      <w:r>
        <w:rPr>
          <w:bCs/>
          <w:color w:val="404040"/>
          <w:sz w:val="23"/>
          <w:szCs w:val="23"/>
        </w:rPr>
        <w:t>trgovačkog društva Eko Promina d.o.o. na kraju 2023. godine iznosila je 54.537,81 €, a na kraju tekuće godine 71.048,59 €, što je promjena 1,30 puta, odnosno za 16.510,78 €.</w:t>
      </w:r>
    </w:p>
    <w:p w14:paraId="30546DCC" w14:textId="77777777" w:rsidR="00747201" w:rsidRDefault="00747201">
      <w:pPr>
        <w:pStyle w:val="Default"/>
        <w:spacing w:line="276" w:lineRule="auto"/>
        <w:ind w:firstLine="708"/>
        <w:jc w:val="both"/>
        <w:rPr>
          <w:bCs/>
          <w:color w:val="404040"/>
          <w:sz w:val="23"/>
          <w:szCs w:val="23"/>
        </w:rPr>
      </w:pPr>
    </w:p>
    <w:p w14:paraId="30546DCD" w14:textId="77777777" w:rsidR="00747201" w:rsidRDefault="00FC772B">
      <w:pPr>
        <w:pStyle w:val="Default"/>
        <w:spacing w:line="276" w:lineRule="auto"/>
        <w:ind w:firstLine="708"/>
        <w:jc w:val="both"/>
        <w:rPr>
          <w:b/>
          <w:bCs/>
          <w:color w:val="404040"/>
          <w:sz w:val="23"/>
          <w:szCs w:val="23"/>
        </w:rPr>
      </w:pPr>
      <w:r>
        <w:rPr>
          <w:b/>
          <w:bCs/>
          <w:color w:val="404040"/>
          <w:sz w:val="23"/>
          <w:szCs w:val="23"/>
        </w:rPr>
        <w:t>Dugotrajna imovina</w:t>
      </w:r>
    </w:p>
    <w:p w14:paraId="30546DCE" w14:textId="77777777" w:rsidR="00747201" w:rsidRDefault="00FC772B">
      <w:pPr>
        <w:pStyle w:val="Default"/>
        <w:spacing w:line="276" w:lineRule="auto"/>
        <w:ind w:firstLine="708"/>
        <w:jc w:val="both"/>
        <w:rPr>
          <w:bCs/>
          <w:color w:val="404040"/>
          <w:sz w:val="23"/>
          <w:szCs w:val="23"/>
        </w:rPr>
      </w:pPr>
      <w:r>
        <w:rPr>
          <w:bCs/>
          <w:color w:val="404040"/>
          <w:sz w:val="23"/>
          <w:szCs w:val="23"/>
        </w:rPr>
        <w:t>Ukupna dugotrajna imovina u 2024. godini bilježi promjenu od -41,47 % u odnosu na 2023. godinu, odnosno promijenila se za -2.721,82 €.</w:t>
      </w:r>
    </w:p>
    <w:p w14:paraId="30546DCF" w14:textId="77777777" w:rsidR="00747201" w:rsidRDefault="00FC772B">
      <w:pPr>
        <w:pStyle w:val="Default"/>
        <w:spacing w:line="276" w:lineRule="auto"/>
        <w:ind w:firstLine="708"/>
        <w:jc w:val="both"/>
        <w:rPr>
          <w:bCs/>
          <w:color w:val="404040"/>
          <w:sz w:val="23"/>
          <w:szCs w:val="23"/>
        </w:rPr>
      </w:pPr>
      <w:r>
        <w:rPr>
          <w:bCs/>
          <w:color w:val="404040"/>
          <w:sz w:val="23"/>
          <w:szCs w:val="23"/>
        </w:rPr>
        <w:tab/>
        <w:t>Od ukupne nematerijalne i materijalne imovine 33,93 % odnosi se na nematerijalnu imovinu, a 66,07 % odnosi se na materijalnu imovinu.</w:t>
      </w:r>
    </w:p>
    <w:p w14:paraId="30546DD0" w14:textId="77777777" w:rsidR="00747201" w:rsidRDefault="00747201">
      <w:pPr>
        <w:pStyle w:val="Default"/>
        <w:spacing w:line="276" w:lineRule="auto"/>
        <w:ind w:firstLine="708"/>
        <w:jc w:val="both"/>
        <w:rPr>
          <w:bCs/>
          <w:color w:val="404040"/>
          <w:sz w:val="23"/>
          <w:szCs w:val="23"/>
        </w:rPr>
      </w:pPr>
    </w:p>
    <w:p w14:paraId="30546DD1" w14:textId="77777777" w:rsidR="00747201" w:rsidRDefault="00FC772B">
      <w:pPr>
        <w:pStyle w:val="Default"/>
        <w:spacing w:line="276" w:lineRule="auto"/>
        <w:ind w:firstLine="708"/>
        <w:jc w:val="both"/>
        <w:rPr>
          <w:b/>
          <w:bCs/>
          <w:color w:val="404040"/>
          <w:sz w:val="23"/>
          <w:szCs w:val="23"/>
        </w:rPr>
      </w:pPr>
      <w:r>
        <w:rPr>
          <w:b/>
          <w:bCs/>
          <w:color w:val="404040"/>
          <w:sz w:val="23"/>
          <w:szCs w:val="23"/>
        </w:rPr>
        <w:t>Materijalna imovina</w:t>
      </w:r>
    </w:p>
    <w:p w14:paraId="30546DD2" w14:textId="77777777" w:rsidR="00747201" w:rsidRDefault="00FC772B">
      <w:pPr>
        <w:pStyle w:val="Default"/>
        <w:spacing w:line="276" w:lineRule="auto"/>
        <w:ind w:firstLine="708"/>
        <w:jc w:val="both"/>
        <w:rPr>
          <w:bCs/>
          <w:color w:val="404040"/>
          <w:sz w:val="23"/>
          <w:szCs w:val="23"/>
        </w:rPr>
      </w:pPr>
      <w:r>
        <w:rPr>
          <w:bCs/>
          <w:color w:val="404040"/>
          <w:sz w:val="23"/>
          <w:szCs w:val="23"/>
        </w:rPr>
        <w:t>U strukturi dugotrajne imovine, dugotrajna materijalna imovina čini 66,07 %.</w:t>
      </w:r>
    </w:p>
    <w:p w14:paraId="30546DD3" w14:textId="77777777" w:rsidR="00747201" w:rsidRDefault="00FC772B">
      <w:pPr>
        <w:pStyle w:val="Default"/>
        <w:spacing w:line="276" w:lineRule="auto"/>
        <w:ind w:firstLine="708"/>
        <w:jc w:val="both"/>
        <w:rPr>
          <w:bCs/>
          <w:color w:val="404040"/>
          <w:sz w:val="23"/>
          <w:szCs w:val="23"/>
        </w:rPr>
      </w:pPr>
      <w:r>
        <w:rPr>
          <w:bCs/>
          <w:color w:val="404040"/>
          <w:sz w:val="23"/>
          <w:szCs w:val="23"/>
        </w:rPr>
        <w:t>Usporedbom dviju izvještajnih financijskih godina dugotrajna materijalna imovina promijenila se 0,48 puta, odnosno za -2.721,82 €.</w:t>
      </w:r>
    </w:p>
    <w:p w14:paraId="30546DD4" w14:textId="77777777" w:rsidR="00747201" w:rsidRDefault="00747201">
      <w:pPr>
        <w:pStyle w:val="Default"/>
        <w:spacing w:line="276" w:lineRule="auto"/>
        <w:jc w:val="both"/>
        <w:rPr>
          <w:bCs/>
          <w:color w:val="404040"/>
          <w:sz w:val="23"/>
          <w:szCs w:val="23"/>
        </w:rPr>
      </w:pPr>
    </w:p>
    <w:p w14:paraId="30546DD5" w14:textId="77777777" w:rsidR="00747201" w:rsidRDefault="00FC772B">
      <w:pPr>
        <w:ind w:firstLine="708"/>
        <w:jc w:val="both"/>
        <w:rPr>
          <w:color w:val="404040"/>
          <w:sz w:val="23"/>
          <w:szCs w:val="23"/>
        </w:rPr>
      </w:pPr>
      <w:proofErr w:type="spellStart"/>
      <w:r>
        <w:rPr>
          <w:color w:val="404040"/>
          <w:sz w:val="23"/>
          <w:szCs w:val="23"/>
        </w:rPr>
        <w:t>Vrijednost</w:t>
      </w:r>
      <w:proofErr w:type="spellEnd"/>
      <w:r>
        <w:rPr>
          <w:color w:val="404040"/>
          <w:sz w:val="23"/>
          <w:szCs w:val="23"/>
        </w:rPr>
        <w:t xml:space="preserve"> </w:t>
      </w:r>
      <w:proofErr w:type="spellStart"/>
      <w:r>
        <w:rPr>
          <w:color w:val="404040"/>
          <w:sz w:val="23"/>
          <w:szCs w:val="23"/>
        </w:rPr>
        <w:t>zemljišta</w:t>
      </w:r>
      <w:proofErr w:type="spellEnd"/>
      <w:r>
        <w:rPr>
          <w:color w:val="404040"/>
          <w:sz w:val="23"/>
          <w:szCs w:val="23"/>
        </w:rPr>
        <w:t xml:space="preserve"> </w:t>
      </w:r>
      <w:proofErr w:type="spellStart"/>
      <w:r>
        <w:rPr>
          <w:color w:val="404040"/>
          <w:sz w:val="23"/>
          <w:szCs w:val="23"/>
        </w:rPr>
        <w:t>Društva</w:t>
      </w:r>
      <w:proofErr w:type="spellEnd"/>
      <w:r>
        <w:rPr>
          <w:color w:val="404040"/>
          <w:sz w:val="23"/>
          <w:szCs w:val="23"/>
        </w:rPr>
        <w:t xml:space="preserve"> u 2024. </w:t>
      </w:r>
      <w:proofErr w:type="spellStart"/>
      <w:r>
        <w:rPr>
          <w:color w:val="404040"/>
          <w:sz w:val="23"/>
          <w:szCs w:val="23"/>
        </w:rPr>
        <w:t>godini</w:t>
      </w:r>
      <w:proofErr w:type="spellEnd"/>
      <w:r>
        <w:rPr>
          <w:color w:val="404040"/>
          <w:sz w:val="23"/>
          <w:szCs w:val="23"/>
        </w:rPr>
        <w:t xml:space="preserve"> </w:t>
      </w:r>
      <w:proofErr w:type="spellStart"/>
      <w:r>
        <w:rPr>
          <w:color w:val="404040"/>
          <w:sz w:val="23"/>
          <w:szCs w:val="23"/>
        </w:rPr>
        <w:t>iznosi</w:t>
      </w:r>
      <w:proofErr w:type="spellEnd"/>
      <w:r>
        <w:rPr>
          <w:color w:val="404040"/>
          <w:sz w:val="23"/>
          <w:szCs w:val="23"/>
        </w:rPr>
        <w:t xml:space="preserve"> 0,00 €, a </w:t>
      </w:r>
      <w:proofErr w:type="spellStart"/>
      <w:r>
        <w:rPr>
          <w:color w:val="404040"/>
          <w:sz w:val="23"/>
          <w:szCs w:val="23"/>
        </w:rPr>
        <w:t>građevinskih</w:t>
      </w:r>
      <w:proofErr w:type="spellEnd"/>
      <w:r>
        <w:rPr>
          <w:color w:val="404040"/>
          <w:sz w:val="23"/>
          <w:szCs w:val="23"/>
        </w:rPr>
        <w:t xml:space="preserve"> </w:t>
      </w:r>
      <w:proofErr w:type="spellStart"/>
      <w:r>
        <w:rPr>
          <w:color w:val="404040"/>
          <w:sz w:val="23"/>
          <w:szCs w:val="23"/>
        </w:rPr>
        <w:t>objekata</w:t>
      </w:r>
      <w:proofErr w:type="spellEnd"/>
      <w:r>
        <w:rPr>
          <w:color w:val="404040"/>
          <w:sz w:val="23"/>
          <w:szCs w:val="23"/>
        </w:rPr>
        <w:t xml:space="preserve"> 0,00 €. </w:t>
      </w:r>
      <w:proofErr w:type="spellStart"/>
      <w:r>
        <w:rPr>
          <w:color w:val="404040"/>
          <w:sz w:val="23"/>
          <w:szCs w:val="23"/>
        </w:rPr>
        <w:t>Vrijednost</w:t>
      </w:r>
      <w:proofErr w:type="spellEnd"/>
      <w:r>
        <w:rPr>
          <w:color w:val="404040"/>
          <w:sz w:val="23"/>
          <w:szCs w:val="23"/>
        </w:rPr>
        <w:t xml:space="preserve"> </w:t>
      </w:r>
      <w:proofErr w:type="spellStart"/>
      <w:r>
        <w:rPr>
          <w:color w:val="404040"/>
          <w:sz w:val="23"/>
          <w:szCs w:val="23"/>
        </w:rPr>
        <w:t>postrojenja</w:t>
      </w:r>
      <w:proofErr w:type="spellEnd"/>
      <w:r>
        <w:rPr>
          <w:color w:val="404040"/>
          <w:sz w:val="23"/>
          <w:szCs w:val="23"/>
        </w:rPr>
        <w:t xml:space="preserve"> i </w:t>
      </w:r>
      <w:proofErr w:type="spellStart"/>
      <w:r>
        <w:rPr>
          <w:color w:val="404040"/>
          <w:sz w:val="23"/>
          <w:szCs w:val="23"/>
        </w:rPr>
        <w:t>opreme</w:t>
      </w:r>
      <w:proofErr w:type="spellEnd"/>
      <w:r>
        <w:rPr>
          <w:color w:val="404040"/>
          <w:sz w:val="23"/>
          <w:szCs w:val="23"/>
        </w:rPr>
        <w:t xml:space="preserve"> </w:t>
      </w:r>
      <w:proofErr w:type="spellStart"/>
      <w:r>
        <w:rPr>
          <w:color w:val="404040"/>
          <w:sz w:val="23"/>
          <w:szCs w:val="23"/>
        </w:rPr>
        <w:t>iznosi</w:t>
      </w:r>
      <w:proofErr w:type="spellEnd"/>
      <w:r>
        <w:rPr>
          <w:color w:val="404040"/>
          <w:sz w:val="23"/>
          <w:szCs w:val="23"/>
        </w:rPr>
        <w:t xml:space="preserve"> 2.537,83 €, </w:t>
      </w:r>
      <w:proofErr w:type="gramStart"/>
      <w:r>
        <w:rPr>
          <w:color w:val="404040"/>
          <w:sz w:val="23"/>
          <w:szCs w:val="23"/>
        </w:rPr>
        <w:t>a</w:t>
      </w:r>
      <w:proofErr w:type="gramEnd"/>
      <w:r>
        <w:rPr>
          <w:color w:val="404040"/>
          <w:sz w:val="23"/>
          <w:szCs w:val="23"/>
        </w:rPr>
        <w:t xml:space="preserve"> alata, </w:t>
      </w:r>
      <w:proofErr w:type="spellStart"/>
      <w:r>
        <w:rPr>
          <w:color w:val="404040"/>
          <w:sz w:val="23"/>
          <w:szCs w:val="23"/>
        </w:rPr>
        <w:t>pogonskog</w:t>
      </w:r>
      <w:proofErr w:type="spellEnd"/>
      <w:r>
        <w:rPr>
          <w:color w:val="404040"/>
          <w:sz w:val="23"/>
          <w:szCs w:val="23"/>
        </w:rPr>
        <w:t xml:space="preserve"> </w:t>
      </w:r>
      <w:proofErr w:type="spellStart"/>
      <w:r>
        <w:rPr>
          <w:color w:val="404040"/>
          <w:sz w:val="23"/>
          <w:szCs w:val="23"/>
        </w:rPr>
        <w:t>inventara</w:t>
      </w:r>
      <w:proofErr w:type="spellEnd"/>
      <w:r>
        <w:rPr>
          <w:color w:val="404040"/>
          <w:sz w:val="23"/>
          <w:szCs w:val="23"/>
        </w:rPr>
        <w:t xml:space="preserve"> i </w:t>
      </w:r>
      <w:proofErr w:type="spellStart"/>
      <w:r>
        <w:rPr>
          <w:color w:val="404040"/>
          <w:sz w:val="23"/>
          <w:szCs w:val="23"/>
        </w:rPr>
        <w:t>transportne</w:t>
      </w:r>
      <w:proofErr w:type="spellEnd"/>
      <w:r>
        <w:rPr>
          <w:color w:val="404040"/>
          <w:sz w:val="23"/>
          <w:szCs w:val="23"/>
        </w:rPr>
        <w:t xml:space="preserve"> </w:t>
      </w:r>
      <w:proofErr w:type="spellStart"/>
      <w:r>
        <w:rPr>
          <w:color w:val="404040"/>
          <w:sz w:val="23"/>
          <w:szCs w:val="23"/>
        </w:rPr>
        <w:t>imovine</w:t>
      </w:r>
      <w:proofErr w:type="spellEnd"/>
      <w:r>
        <w:rPr>
          <w:color w:val="404040"/>
          <w:sz w:val="23"/>
          <w:szCs w:val="23"/>
        </w:rPr>
        <w:t xml:space="preserve"> 0,00 €. </w:t>
      </w:r>
      <w:proofErr w:type="spellStart"/>
      <w:r>
        <w:rPr>
          <w:color w:val="404040"/>
          <w:sz w:val="23"/>
          <w:szCs w:val="23"/>
        </w:rPr>
        <w:t>Vrijednost</w:t>
      </w:r>
      <w:proofErr w:type="spellEnd"/>
      <w:r>
        <w:rPr>
          <w:color w:val="404040"/>
          <w:sz w:val="23"/>
          <w:szCs w:val="23"/>
        </w:rPr>
        <w:t xml:space="preserve"> </w:t>
      </w:r>
      <w:proofErr w:type="spellStart"/>
      <w:r>
        <w:rPr>
          <w:color w:val="404040"/>
          <w:sz w:val="23"/>
          <w:szCs w:val="23"/>
        </w:rPr>
        <w:t>biološke</w:t>
      </w:r>
      <w:proofErr w:type="spellEnd"/>
      <w:r>
        <w:rPr>
          <w:color w:val="404040"/>
          <w:sz w:val="23"/>
          <w:szCs w:val="23"/>
        </w:rPr>
        <w:t xml:space="preserve"> </w:t>
      </w:r>
      <w:proofErr w:type="spellStart"/>
      <w:r>
        <w:rPr>
          <w:color w:val="404040"/>
          <w:sz w:val="23"/>
          <w:szCs w:val="23"/>
        </w:rPr>
        <w:t>imovine</w:t>
      </w:r>
      <w:proofErr w:type="spellEnd"/>
      <w:r>
        <w:rPr>
          <w:color w:val="404040"/>
          <w:sz w:val="23"/>
          <w:szCs w:val="23"/>
        </w:rPr>
        <w:t xml:space="preserve"> </w:t>
      </w:r>
      <w:proofErr w:type="spellStart"/>
      <w:r>
        <w:rPr>
          <w:color w:val="404040"/>
          <w:sz w:val="23"/>
          <w:szCs w:val="23"/>
        </w:rPr>
        <w:t>iznosi</w:t>
      </w:r>
      <w:proofErr w:type="spellEnd"/>
      <w:r>
        <w:rPr>
          <w:color w:val="404040"/>
          <w:sz w:val="23"/>
          <w:szCs w:val="23"/>
        </w:rPr>
        <w:t xml:space="preserve"> 0,00 €, a </w:t>
      </w:r>
      <w:proofErr w:type="spellStart"/>
      <w:r>
        <w:rPr>
          <w:color w:val="404040"/>
          <w:sz w:val="23"/>
          <w:szCs w:val="23"/>
        </w:rPr>
        <w:t>predujmova</w:t>
      </w:r>
      <w:proofErr w:type="spellEnd"/>
      <w:r>
        <w:rPr>
          <w:color w:val="404040"/>
          <w:sz w:val="23"/>
          <w:szCs w:val="23"/>
        </w:rPr>
        <w:t xml:space="preserve"> za </w:t>
      </w:r>
      <w:proofErr w:type="spellStart"/>
      <w:r>
        <w:rPr>
          <w:color w:val="404040"/>
          <w:sz w:val="23"/>
          <w:szCs w:val="23"/>
        </w:rPr>
        <w:t>materijalnu</w:t>
      </w:r>
      <w:proofErr w:type="spellEnd"/>
      <w:r>
        <w:rPr>
          <w:color w:val="404040"/>
          <w:sz w:val="23"/>
          <w:szCs w:val="23"/>
        </w:rPr>
        <w:t xml:space="preserve"> </w:t>
      </w:r>
      <w:proofErr w:type="spellStart"/>
      <w:r>
        <w:rPr>
          <w:color w:val="404040"/>
          <w:sz w:val="23"/>
          <w:szCs w:val="23"/>
        </w:rPr>
        <w:t>imovinu</w:t>
      </w:r>
      <w:proofErr w:type="spellEnd"/>
      <w:r>
        <w:rPr>
          <w:color w:val="404040"/>
          <w:sz w:val="23"/>
          <w:szCs w:val="23"/>
        </w:rPr>
        <w:t xml:space="preserve"> 0,00 € i </w:t>
      </w:r>
      <w:proofErr w:type="spellStart"/>
      <w:r>
        <w:rPr>
          <w:color w:val="404040"/>
          <w:sz w:val="23"/>
          <w:szCs w:val="23"/>
        </w:rPr>
        <w:t>materijalne</w:t>
      </w:r>
      <w:proofErr w:type="spellEnd"/>
      <w:r>
        <w:rPr>
          <w:color w:val="404040"/>
          <w:sz w:val="23"/>
          <w:szCs w:val="23"/>
        </w:rPr>
        <w:t xml:space="preserve"> </w:t>
      </w:r>
      <w:proofErr w:type="spellStart"/>
      <w:r>
        <w:rPr>
          <w:color w:val="404040"/>
          <w:sz w:val="23"/>
          <w:szCs w:val="23"/>
        </w:rPr>
        <w:t>imovine</w:t>
      </w:r>
      <w:proofErr w:type="spellEnd"/>
      <w:r>
        <w:rPr>
          <w:color w:val="404040"/>
          <w:sz w:val="23"/>
          <w:szCs w:val="23"/>
        </w:rPr>
        <w:t xml:space="preserve"> u </w:t>
      </w:r>
      <w:proofErr w:type="spellStart"/>
      <w:r>
        <w:rPr>
          <w:color w:val="404040"/>
          <w:sz w:val="23"/>
          <w:szCs w:val="23"/>
        </w:rPr>
        <w:t>pripremi</w:t>
      </w:r>
      <w:proofErr w:type="spellEnd"/>
      <w:r>
        <w:rPr>
          <w:color w:val="404040"/>
          <w:sz w:val="23"/>
          <w:szCs w:val="23"/>
        </w:rPr>
        <w:t xml:space="preserve"> 0,00 €. </w:t>
      </w:r>
      <w:proofErr w:type="spellStart"/>
      <w:r>
        <w:rPr>
          <w:color w:val="404040"/>
          <w:sz w:val="23"/>
          <w:szCs w:val="23"/>
        </w:rPr>
        <w:t>Vrijednost</w:t>
      </w:r>
      <w:proofErr w:type="spellEnd"/>
      <w:r>
        <w:rPr>
          <w:color w:val="404040"/>
          <w:sz w:val="23"/>
          <w:szCs w:val="23"/>
        </w:rPr>
        <w:t xml:space="preserve"> </w:t>
      </w:r>
      <w:proofErr w:type="spellStart"/>
      <w:r>
        <w:rPr>
          <w:color w:val="404040"/>
          <w:sz w:val="23"/>
          <w:szCs w:val="23"/>
        </w:rPr>
        <w:t>nekretnina</w:t>
      </w:r>
      <w:proofErr w:type="spellEnd"/>
      <w:r>
        <w:rPr>
          <w:color w:val="404040"/>
          <w:sz w:val="23"/>
          <w:szCs w:val="23"/>
        </w:rPr>
        <w:t xml:space="preserve"> </w:t>
      </w:r>
      <w:proofErr w:type="spellStart"/>
      <w:r>
        <w:rPr>
          <w:color w:val="404040"/>
          <w:sz w:val="23"/>
          <w:szCs w:val="23"/>
        </w:rPr>
        <w:t>iznosi</w:t>
      </w:r>
      <w:proofErr w:type="spellEnd"/>
      <w:r>
        <w:rPr>
          <w:color w:val="404040"/>
          <w:sz w:val="23"/>
          <w:szCs w:val="23"/>
        </w:rPr>
        <w:t xml:space="preserve"> 0,00 € </w:t>
      </w:r>
      <w:proofErr w:type="spellStart"/>
      <w:r>
        <w:rPr>
          <w:color w:val="404040"/>
          <w:sz w:val="23"/>
          <w:szCs w:val="23"/>
        </w:rPr>
        <w:t>te</w:t>
      </w:r>
      <w:proofErr w:type="spellEnd"/>
      <w:r>
        <w:rPr>
          <w:color w:val="404040"/>
          <w:sz w:val="23"/>
          <w:szCs w:val="23"/>
        </w:rPr>
        <w:t xml:space="preserve"> se 0,00 € </w:t>
      </w:r>
      <w:proofErr w:type="spellStart"/>
      <w:r>
        <w:rPr>
          <w:color w:val="404040"/>
          <w:sz w:val="23"/>
          <w:szCs w:val="23"/>
        </w:rPr>
        <w:t>odnosi</w:t>
      </w:r>
      <w:proofErr w:type="spellEnd"/>
      <w:r>
        <w:rPr>
          <w:color w:val="404040"/>
          <w:sz w:val="23"/>
          <w:szCs w:val="23"/>
        </w:rPr>
        <w:t xml:space="preserve"> </w:t>
      </w:r>
      <w:proofErr w:type="spellStart"/>
      <w:r>
        <w:rPr>
          <w:color w:val="404040"/>
          <w:sz w:val="23"/>
          <w:szCs w:val="23"/>
        </w:rPr>
        <w:t>na</w:t>
      </w:r>
      <w:proofErr w:type="spellEnd"/>
      <w:r>
        <w:rPr>
          <w:color w:val="404040"/>
          <w:sz w:val="23"/>
          <w:szCs w:val="23"/>
        </w:rPr>
        <w:t xml:space="preserve"> </w:t>
      </w:r>
      <w:proofErr w:type="spellStart"/>
      <w:r>
        <w:rPr>
          <w:color w:val="404040"/>
          <w:sz w:val="23"/>
          <w:szCs w:val="23"/>
        </w:rPr>
        <w:t>ostalu</w:t>
      </w:r>
      <w:proofErr w:type="spellEnd"/>
      <w:r>
        <w:rPr>
          <w:color w:val="404040"/>
          <w:sz w:val="23"/>
          <w:szCs w:val="23"/>
        </w:rPr>
        <w:t xml:space="preserve"> </w:t>
      </w:r>
      <w:proofErr w:type="spellStart"/>
      <w:r>
        <w:rPr>
          <w:color w:val="404040"/>
          <w:sz w:val="23"/>
          <w:szCs w:val="23"/>
        </w:rPr>
        <w:t>materijalnu</w:t>
      </w:r>
      <w:proofErr w:type="spellEnd"/>
      <w:r>
        <w:rPr>
          <w:color w:val="404040"/>
          <w:sz w:val="23"/>
          <w:szCs w:val="23"/>
        </w:rPr>
        <w:t xml:space="preserve"> </w:t>
      </w:r>
      <w:proofErr w:type="gramStart"/>
      <w:r>
        <w:rPr>
          <w:color w:val="404040"/>
          <w:sz w:val="23"/>
          <w:szCs w:val="23"/>
        </w:rPr>
        <w:t>imovnu.*</w:t>
      </w:r>
      <w:proofErr w:type="gramEnd"/>
    </w:p>
    <w:p w14:paraId="30546DD6" w14:textId="77777777" w:rsidR="00747201" w:rsidRDefault="00FC772B">
      <w:pPr>
        <w:pStyle w:val="Default"/>
        <w:spacing w:line="276" w:lineRule="auto"/>
        <w:jc w:val="right"/>
        <w:rPr>
          <w:bCs/>
          <w:color w:val="404040"/>
          <w:sz w:val="16"/>
          <w:szCs w:val="16"/>
        </w:rPr>
      </w:pPr>
      <w:r>
        <w:rPr>
          <w:bCs/>
          <w:color w:val="404040"/>
          <w:sz w:val="16"/>
          <w:szCs w:val="16"/>
        </w:rPr>
        <w:t>* Navedene vrijednosti predstavljaju promjenu neto vrijednosti navedenih pozicija.</w:t>
      </w:r>
    </w:p>
    <w:p w14:paraId="30546DD7" w14:textId="77777777" w:rsidR="00747201" w:rsidRDefault="00747201">
      <w:pPr>
        <w:pStyle w:val="Default"/>
        <w:spacing w:line="276" w:lineRule="auto"/>
        <w:jc w:val="both"/>
        <w:rPr>
          <w:bCs/>
          <w:color w:val="404040"/>
          <w:sz w:val="16"/>
          <w:szCs w:val="16"/>
        </w:rPr>
      </w:pPr>
    </w:p>
    <w:p w14:paraId="30546DD8" w14:textId="77777777" w:rsidR="00747201" w:rsidRDefault="00FC772B">
      <w:pPr>
        <w:pStyle w:val="Default"/>
        <w:spacing w:line="276" w:lineRule="auto"/>
        <w:jc w:val="center"/>
        <w:rPr>
          <w:bCs/>
          <w:color w:val="404040"/>
          <w:sz w:val="23"/>
          <w:szCs w:val="23"/>
        </w:rPr>
      </w:pPr>
      <w:r>
        <w:rPr>
          <w:noProof/>
        </w:rPr>
        <w:drawing>
          <wp:inline distT="0" distB="0" distL="0" distR="0" wp14:anchorId="30546E22" wp14:editId="30546E23">
            <wp:extent cx="5399405" cy="3414531"/>
            <wp:effectExtent l="0" t="0" r="0" b="1905"/>
            <wp:docPr id="5" name="Диаграмма 16" title="chart_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0546DD9" w14:textId="77777777" w:rsidR="00747201" w:rsidRDefault="00747201">
      <w:pPr>
        <w:pStyle w:val="Default"/>
        <w:spacing w:line="276" w:lineRule="auto"/>
        <w:ind w:firstLine="708"/>
        <w:jc w:val="both"/>
        <w:rPr>
          <w:b/>
          <w:bCs/>
          <w:color w:val="404040"/>
          <w:sz w:val="23"/>
          <w:szCs w:val="23"/>
        </w:rPr>
      </w:pPr>
    </w:p>
    <w:p w14:paraId="30546DDA" w14:textId="77777777" w:rsidR="00747201" w:rsidRDefault="00FC772B">
      <w:pPr>
        <w:pStyle w:val="Default"/>
        <w:spacing w:line="276" w:lineRule="auto"/>
        <w:ind w:firstLine="708"/>
        <w:jc w:val="both"/>
        <w:rPr>
          <w:b/>
          <w:bCs/>
          <w:color w:val="404040"/>
          <w:sz w:val="23"/>
          <w:szCs w:val="23"/>
        </w:rPr>
      </w:pPr>
      <w:r>
        <w:rPr>
          <w:b/>
          <w:bCs/>
          <w:color w:val="404040"/>
          <w:sz w:val="23"/>
          <w:szCs w:val="23"/>
        </w:rPr>
        <w:t>Potraživanja</w:t>
      </w:r>
    </w:p>
    <w:p w14:paraId="30546DDB" w14:textId="77777777" w:rsidR="00747201" w:rsidRDefault="00FC772B">
      <w:pPr>
        <w:pStyle w:val="Default"/>
        <w:spacing w:line="276" w:lineRule="auto"/>
        <w:jc w:val="both"/>
        <w:rPr>
          <w:bCs/>
          <w:color w:val="404040"/>
          <w:sz w:val="23"/>
          <w:szCs w:val="23"/>
        </w:rPr>
      </w:pPr>
      <w:r>
        <w:rPr>
          <w:bCs/>
          <w:color w:val="404040"/>
          <w:sz w:val="23"/>
          <w:szCs w:val="23"/>
        </w:rPr>
        <w:tab/>
        <w:t>Potraživanja Društva dijele se na dugotrajna i kratkotrajna te u izvještajnoj godini iznose 0,00 €, odnosno 29.179,70 €, recipročno.</w:t>
      </w:r>
    </w:p>
    <w:p w14:paraId="30546DDC" w14:textId="77777777" w:rsidR="00747201" w:rsidRDefault="00747201">
      <w:pPr>
        <w:pStyle w:val="Default"/>
        <w:spacing w:line="276" w:lineRule="auto"/>
        <w:jc w:val="both"/>
        <w:rPr>
          <w:bCs/>
          <w:color w:val="404040"/>
          <w:sz w:val="23"/>
          <w:szCs w:val="23"/>
        </w:rPr>
      </w:pPr>
    </w:p>
    <w:p w14:paraId="30546DDD" w14:textId="77777777" w:rsidR="00747201" w:rsidRDefault="00FC772B">
      <w:pPr>
        <w:pStyle w:val="Default"/>
        <w:spacing w:line="276" w:lineRule="auto"/>
        <w:ind w:firstLine="708"/>
        <w:jc w:val="both"/>
        <w:rPr>
          <w:b/>
          <w:bCs/>
          <w:color w:val="404040"/>
          <w:sz w:val="23"/>
          <w:szCs w:val="23"/>
        </w:rPr>
      </w:pPr>
      <w:r>
        <w:rPr>
          <w:b/>
          <w:bCs/>
          <w:color w:val="404040"/>
          <w:sz w:val="23"/>
          <w:szCs w:val="23"/>
        </w:rPr>
        <w:t>Kratkotrajna potraživanja</w:t>
      </w:r>
    </w:p>
    <w:p w14:paraId="30546DDE" w14:textId="77777777" w:rsidR="00747201" w:rsidRDefault="00FC772B">
      <w:pPr>
        <w:pStyle w:val="Default"/>
        <w:spacing w:line="276" w:lineRule="auto"/>
        <w:jc w:val="both"/>
        <w:rPr>
          <w:bCs/>
          <w:color w:val="404040"/>
          <w:sz w:val="23"/>
          <w:szCs w:val="23"/>
        </w:rPr>
      </w:pPr>
      <w:r>
        <w:rPr>
          <w:bCs/>
          <w:color w:val="404040"/>
          <w:sz w:val="23"/>
          <w:szCs w:val="23"/>
        </w:rPr>
        <w:tab/>
        <w:t>Kratkotrajna potraživanja u 2024. godini u odnosu na prethodnu promijenila su se za 15,91 %, tj. promijenila su se 1,16 puta.</w:t>
      </w:r>
    </w:p>
    <w:p w14:paraId="30546DDF" w14:textId="77777777" w:rsidR="00747201" w:rsidRDefault="00747201">
      <w:pPr>
        <w:pStyle w:val="Default"/>
        <w:spacing w:line="276" w:lineRule="auto"/>
        <w:jc w:val="both"/>
        <w:rPr>
          <w:bCs/>
          <w:color w:val="404040"/>
          <w:sz w:val="23"/>
          <w:szCs w:val="23"/>
        </w:rPr>
      </w:pPr>
    </w:p>
    <w:p w14:paraId="30546DE0" w14:textId="77777777" w:rsidR="00747201" w:rsidRDefault="00FC772B">
      <w:pPr>
        <w:pStyle w:val="Default"/>
        <w:spacing w:line="276" w:lineRule="auto"/>
        <w:jc w:val="center"/>
        <w:rPr>
          <w:b/>
          <w:bCs/>
          <w:color w:val="404040"/>
          <w:sz w:val="23"/>
          <w:szCs w:val="23"/>
        </w:rPr>
      </w:pPr>
      <w:r>
        <w:rPr>
          <w:noProof/>
        </w:rPr>
        <w:lastRenderedPageBreak/>
        <w:drawing>
          <wp:inline distT="0" distB="0" distL="0" distR="0" wp14:anchorId="30546E24" wp14:editId="30546E25">
            <wp:extent cx="5399405" cy="2529069"/>
            <wp:effectExtent l="0" t="0" r="0" b="0"/>
            <wp:docPr id="6" name="Диаграмма 20" title="chart_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0546DE1" w14:textId="77777777" w:rsidR="00747201" w:rsidRDefault="00747201">
      <w:pPr>
        <w:pStyle w:val="Default"/>
        <w:spacing w:line="276" w:lineRule="auto"/>
        <w:ind w:firstLine="708"/>
        <w:jc w:val="both"/>
        <w:rPr>
          <w:b/>
          <w:bCs/>
          <w:color w:val="404040"/>
          <w:sz w:val="23"/>
          <w:szCs w:val="23"/>
        </w:rPr>
      </w:pPr>
    </w:p>
    <w:p w14:paraId="30546DE2" w14:textId="77777777" w:rsidR="00747201" w:rsidRDefault="00747201">
      <w:pPr>
        <w:pStyle w:val="Default"/>
        <w:spacing w:line="276" w:lineRule="auto"/>
        <w:ind w:firstLine="708"/>
        <w:jc w:val="both"/>
        <w:rPr>
          <w:b/>
          <w:bCs/>
          <w:color w:val="404040"/>
          <w:sz w:val="23"/>
          <w:szCs w:val="23"/>
        </w:rPr>
      </w:pPr>
    </w:p>
    <w:p w14:paraId="30546DE3" w14:textId="77777777" w:rsidR="00747201" w:rsidRDefault="00FC772B">
      <w:pPr>
        <w:pStyle w:val="Default"/>
        <w:spacing w:line="276" w:lineRule="auto"/>
        <w:ind w:firstLine="708"/>
        <w:jc w:val="both"/>
        <w:rPr>
          <w:b/>
          <w:bCs/>
          <w:color w:val="404040"/>
          <w:sz w:val="23"/>
          <w:szCs w:val="23"/>
        </w:rPr>
      </w:pPr>
      <w:r>
        <w:rPr>
          <w:b/>
          <w:bCs/>
          <w:color w:val="404040"/>
          <w:sz w:val="23"/>
          <w:szCs w:val="23"/>
        </w:rPr>
        <w:t>Zalihe</w:t>
      </w:r>
    </w:p>
    <w:p w14:paraId="30546DE4" w14:textId="77777777" w:rsidR="00747201" w:rsidRDefault="00FC772B">
      <w:pPr>
        <w:pStyle w:val="Default"/>
        <w:spacing w:line="276" w:lineRule="auto"/>
        <w:jc w:val="both"/>
        <w:rPr>
          <w:bCs/>
          <w:color w:val="404040"/>
          <w:sz w:val="23"/>
          <w:szCs w:val="23"/>
        </w:rPr>
      </w:pPr>
      <w:r>
        <w:rPr>
          <w:bCs/>
          <w:color w:val="404040"/>
          <w:sz w:val="23"/>
          <w:szCs w:val="23"/>
        </w:rPr>
        <w:tab/>
        <w:t>Zalihe Društva iznose 0,00 € te su se u odnosu na prethodnu godinu izmijenile 0,00 puta, izraženo u potocima, to je za 0,00 %.</w:t>
      </w:r>
    </w:p>
    <w:p w14:paraId="30546DE5" w14:textId="77777777" w:rsidR="00747201" w:rsidRDefault="00747201">
      <w:pPr>
        <w:pStyle w:val="Default"/>
        <w:spacing w:line="276" w:lineRule="auto"/>
        <w:jc w:val="both"/>
        <w:rPr>
          <w:bCs/>
          <w:color w:val="404040"/>
          <w:sz w:val="23"/>
          <w:szCs w:val="23"/>
        </w:rPr>
      </w:pPr>
    </w:p>
    <w:p w14:paraId="30546DE6" w14:textId="77777777" w:rsidR="00747201" w:rsidRDefault="00FC772B">
      <w:pPr>
        <w:pStyle w:val="Default"/>
        <w:spacing w:line="276" w:lineRule="auto"/>
        <w:ind w:firstLine="708"/>
        <w:jc w:val="both"/>
        <w:rPr>
          <w:b/>
          <w:bCs/>
          <w:color w:val="404040"/>
          <w:sz w:val="23"/>
          <w:szCs w:val="23"/>
        </w:rPr>
      </w:pPr>
      <w:r>
        <w:rPr>
          <w:b/>
          <w:bCs/>
          <w:color w:val="404040"/>
          <w:sz w:val="23"/>
          <w:szCs w:val="23"/>
        </w:rPr>
        <w:t>Novac u banci i blagajni</w:t>
      </w:r>
    </w:p>
    <w:p w14:paraId="30546DE7" w14:textId="77777777" w:rsidR="00747201" w:rsidRDefault="00FC772B">
      <w:pPr>
        <w:pStyle w:val="Default"/>
        <w:spacing w:line="276" w:lineRule="auto"/>
        <w:jc w:val="both"/>
        <w:rPr>
          <w:bCs/>
          <w:color w:val="404040"/>
          <w:sz w:val="23"/>
          <w:szCs w:val="23"/>
        </w:rPr>
      </w:pPr>
      <w:r>
        <w:rPr>
          <w:bCs/>
          <w:color w:val="404040"/>
          <w:sz w:val="23"/>
          <w:szCs w:val="23"/>
        </w:rPr>
        <w:tab/>
      </w:r>
      <w:r>
        <w:rPr>
          <w:bCs/>
          <w:color w:val="404040"/>
          <w:sz w:val="23"/>
          <w:szCs w:val="23"/>
        </w:rPr>
        <w:t>Novčana sredstva Društva u 2024. godini prezentiraju novac na EUR računima, novac na deviznim računima te novac u blagajni. Na dan 31.12.2024. godine na računima je zabilježena svota od 38.027,72 € što je promjena od 66,79 %, odnosno 15.227,55 € u odnosu na prethodnu financijsku godinu.</w:t>
      </w:r>
    </w:p>
    <w:p w14:paraId="30546DE8" w14:textId="77777777" w:rsidR="00747201" w:rsidRDefault="00747201">
      <w:pPr>
        <w:pStyle w:val="Default"/>
        <w:spacing w:line="276" w:lineRule="auto"/>
        <w:jc w:val="both"/>
        <w:rPr>
          <w:color w:val="404040"/>
          <w:sz w:val="23"/>
          <w:szCs w:val="23"/>
        </w:rPr>
      </w:pPr>
    </w:p>
    <w:p w14:paraId="30546DE9" w14:textId="77777777" w:rsidR="00747201" w:rsidRDefault="00747201">
      <w:pPr>
        <w:pStyle w:val="Default"/>
        <w:spacing w:line="276" w:lineRule="auto"/>
        <w:jc w:val="both"/>
        <w:rPr>
          <w:color w:val="404040"/>
          <w:sz w:val="23"/>
          <w:szCs w:val="23"/>
        </w:rPr>
      </w:pPr>
    </w:p>
    <w:p w14:paraId="30546DEA" w14:textId="77777777" w:rsidR="00747201" w:rsidRDefault="00FC772B">
      <w:pPr>
        <w:pStyle w:val="Default"/>
        <w:spacing w:line="276" w:lineRule="auto"/>
        <w:ind w:left="708"/>
        <w:jc w:val="both"/>
        <w:rPr>
          <w:b/>
          <w:color w:val="404040"/>
          <w:sz w:val="28"/>
          <w:szCs w:val="28"/>
        </w:rPr>
      </w:pPr>
      <w:r>
        <w:rPr>
          <w:b/>
          <w:color w:val="404040"/>
          <w:sz w:val="28"/>
          <w:szCs w:val="28"/>
        </w:rPr>
        <w:t>PASIVA</w:t>
      </w:r>
    </w:p>
    <w:p w14:paraId="30546DEB" w14:textId="77777777" w:rsidR="00747201" w:rsidRDefault="00747201">
      <w:pPr>
        <w:pStyle w:val="Default"/>
        <w:spacing w:line="276" w:lineRule="auto"/>
        <w:ind w:left="708"/>
        <w:jc w:val="both"/>
        <w:rPr>
          <w:b/>
          <w:color w:val="404040"/>
          <w:sz w:val="28"/>
          <w:szCs w:val="28"/>
        </w:rPr>
      </w:pPr>
    </w:p>
    <w:p w14:paraId="30546DEC" w14:textId="77777777" w:rsidR="00747201" w:rsidRDefault="00FC772B">
      <w:pPr>
        <w:pStyle w:val="Default"/>
        <w:spacing w:line="276" w:lineRule="auto"/>
        <w:ind w:firstLine="708"/>
        <w:jc w:val="both"/>
        <w:rPr>
          <w:color w:val="404040"/>
          <w:sz w:val="23"/>
          <w:szCs w:val="23"/>
        </w:rPr>
      </w:pPr>
      <w:r>
        <w:rPr>
          <w:color w:val="404040"/>
          <w:sz w:val="23"/>
          <w:szCs w:val="23"/>
        </w:rPr>
        <w:t>Pasiva trgovačkog društva Eko Promina d.o.o. sastoji se od ukupnog kapitala i rezervi, rezerviranja, dugoročnih i kratkoročnih obveza te odgođenog plaćanja troškova i prihoda budućeg razdoblja.</w:t>
      </w:r>
    </w:p>
    <w:p w14:paraId="30546DED" w14:textId="77777777" w:rsidR="00747201" w:rsidRDefault="00747201">
      <w:pPr>
        <w:pStyle w:val="Default"/>
        <w:spacing w:line="276" w:lineRule="auto"/>
        <w:ind w:firstLine="708"/>
        <w:jc w:val="both"/>
        <w:rPr>
          <w:color w:val="404040"/>
          <w:sz w:val="23"/>
          <w:szCs w:val="23"/>
        </w:rPr>
      </w:pPr>
    </w:p>
    <w:p w14:paraId="30546DEE" w14:textId="77777777" w:rsidR="00747201" w:rsidRDefault="00FC772B">
      <w:pPr>
        <w:pStyle w:val="Default"/>
        <w:spacing w:line="276" w:lineRule="auto"/>
        <w:ind w:firstLine="708"/>
        <w:jc w:val="both"/>
        <w:rPr>
          <w:b/>
          <w:color w:val="404040"/>
          <w:sz w:val="23"/>
          <w:szCs w:val="23"/>
        </w:rPr>
      </w:pPr>
      <w:r>
        <w:rPr>
          <w:b/>
          <w:color w:val="404040"/>
          <w:sz w:val="23"/>
          <w:szCs w:val="23"/>
        </w:rPr>
        <w:t>Kapital i rezerve</w:t>
      </w:r>
      <w:r>
        <w:rPr>
          <w:color w:val="404040"/>
          <w:sz w:val="23"/>
          <w:szCs w:val="23"/>
        </w:rPr>
        <w:tab/>
      </w:r>
    </w:p>
    <w:p w14:paraId="30546DEF" w14:textId="77777777" w:rsidR="00747201" w:rsidRDefault="00FC772B">
      <w:pPr>
        <w:pStyle w:val="Default"/>
        <w:spacing w:line="276" w:lineRule="auto"/>
        <w:ind w:firstLine="708"/>
        <w:jc w:val="both"/>
        <w:rPr>
          <w:color w:val="404040"/>
          <w:sz w:val="23"/>
          <w:szCs w:val="23"/>
        </w:rPr>
      </w:pPr>
      <w:r>
        <w:rPr>
          <w:color w:val="404040"/>
          <w:sz w:val="23"/>
          <w:szCs w:val="23"/>
        </w:rPr>
        <w:t>Ukupni kapital i rezerve Društva na kraju 2024. godine iznosi 54.710,02 €. Promjena u odnosu na 2023. godinu je 9.179,20 € ili 1,20 puta ili izraženo u postocima 20,16 %.</w:t>
      </w:r>
    </w:p>
    <w:p w14:paraId="30546DF0" w14:textId="77777777" w:rsidR="00747201" w:rsidRDefault="00747201">
      <w:pPr>
        <w:pStyle w:val="Default"/>
        <w:spacing w:line="276" w:lineRule="auto"/>
        <w:jc w:val="both"/>
        <w:rPr>
          <w:color w:val="404040"/>
          <w:sz w:val="23"/>
          <w:szCs w:val="23"/>
        </w:rPr>
      </w:pPr>
    </w:p>
    <w:p w14:paraId="30546DF1" w14:textId="77777777" w:rsidR="00747201" w:rsidRDefault="00FC772B">
      <w:pPr>
        <w:pStyle w:val="Default"/>
        <w:spacing w:line="276" w:lineRule="auto"/>
        <w:ind w:firstLine="708"/>
        <w:jc w:val="both"/>
        <w:rPr>
          <w:b/>
          <w:color w:val="404040"/>
          <w:sz w:val="23"/>
          <w:szCs w:val="23"/>
        </w:rPr>
      </w:pPr>
      <w:r>
        <w:rPr>
          <w:b/>
          <w:color w:val="404040"/>
          <w:sz w:val="23"/>
          <w:szCs w:val="23"/>
        </w:rPr>
        <w:t>Temeljni kapital</w:t>
      </w:r>
    </w:p>
    <w:p w14:paraId="30546DF2" w14:textId="77777777" w:rsidR="00747201" w:rsidRDefault="00FC772B">
      <w:pPr>
        <w:pStyle w:val="Default"/>
        <w:spacing w:line="276" w:lineRule="auto"/>
        <w:jc w:val="both"/>
        <w:rPr>
          <w:color w:val="404040"/>
          <w:sz w:val="23"/>
          <w:szCs w:val="23"/>
        </w:rPr>
      </w:pPr>
      <w:r>
        <w:rPr>
          <w:color w:val="404040"/>
          <w:sz w:val="23"/>
          <w:szCs w:val="23"/>
        </w:rPr>
        <w:tab/>
        <w:t>Upisani temeljni kapital Društva iznosi je 2.654,46 €. Prethodne godine iznosio je 2.654,46 €, što predstavlja promjenu od 0,00 €, odnosno promijenjen je 0,00 %.</w:t>
      </w:r>
    </w:p>
    <w:p w14:paraId="30546DF3" w14:textId="77777777" w:rsidR="00747201" w:rsidRDefault="00747201">
      <w:pPr>
        <w:pStyle w:val="Default"/>
        <w:spacing w:line="276" w:lineRule="auto"/>
        <w:jc w:val="both"/>
        <w:rPr>
          <w:color w:val="404040"/>
          <w:sz w:val="23"/>
          <w:szCs w:val="23"/>
        </w:rPr>
      </w:pPr>
    </w:p>
    <w:p w14:paraId="30546DF4" w14:textId="77777777" w:rsidR="00747201" w:rsidRDefault="00FC772B">
      <w:pPr>
        <w:pStyle w:val="Default"/>
        <w:spacing w:line="276" w:lineRule="auto"/>
        <w:ind w:firstLine="708"/>
        <w:jc w:val="both"/>
        <w:rPr>
          <w:b/>
          <w:color w:val="404040"/>
          <w:sz w:val="23"/>
          <w:szCs w:val="23"/>
        </w:rPr>
      </w:pPr>
      <w:r>
        <w:rPr>
          <w:b/>
          <w:color w:val="404040"/>
          <w:sz w:val="23"/>
          <w:szCs w:val="23"/>
        </w:rPr>
        <w:t>Zadržana dobit ili preneseni gubitak</w:t>
      </w:r>
    </w:p>
    <w:p w14:paraId="30546DF5" w14:textId="77777777" w:rsidR="00747201" w:rsidRDefault="00FC772B">
      <w:pPr>
        <w:pStyle w:val="Default"/>
        <w:spacing w:line="276" w:lineRule="auto"/>
        <w:jc w:val="both"/>
        <w:rPr>
          <w:color w:val="404040"/>
          <w:sz w:val="23"/>
          <w:szCs w:val="23"/>
        </w:rPr>
      </w:pPr>
      <w:r>
        <w:rPr>
          <w:color w:val="404040"/>
          <w:sz w:val="23"/>
          <w:szCs w:val="23"/>
        </w:rPr>
        <w:tab/>
        <w:t>Zadržana dobit trgovačkog društva na dan 31.12.2024. godine iznosi 15.809,53 €. U odnosu na prethodnu financijsku godinu to je promjena od 1.134,87 € u apsolutnom iznosu.</w:t>
      </w:r>
    </w:p>
    <w:p w14:paraId="30546DF6" w14:textId="77777777" w:rsidR="00747201" w:rsidRDefault="00747201">
      <w:pPr>
        <w:pStyle w:val="Default"/>
        <w:spacing w:line="276" w:lineRule="auto"/>
        <w:jc w:val="both"/>
        <w:rPr>
          <w:color w:val="404040"/>
          <w:sz w:val="23"/>
          <w:szCs w:val="23"/>
        </w:rPr>
      </w:pPr>
    </w:p>
    <w:p w14:paraId="30546DF7" w14:textId="77777777" w:rsidR="00747201" w:rsidRDefault="00FC772B">
      <w:pPr>
        <w:pStyle w:val="Default"/>
        <w:spacing w:line="276" w:lineRule="auto"/>
        <w:jc w:val="both"/>
        <w:rPr>
          <w:color w:val="404040"/>
          <w:sz w:val="23"/>
          <w:szCs w:val="23"/>
        </w:rPr>
      </w:pPr>
      <w:r>
        <w:rPr>
          <w:color w:val="404040"/>
          <w:sz w:val="23"/>
          <w:szCs w:val="23"/>
        </w:rPr>
        <w:tab/>
        <w:t>Zadržana dobit za izvještajnu godinu iznosi 15.809,53 €, a prethodne poslovne godine na dan 31.12. iznosila je 14.674,66 €.</w:t>
      </w:r>
    </w:p>
    <w:p w14:paraId="30546DF8" w14:textId="77777777" w:rsidR="00747201" w:rsidRDefault="00747201">
      <w:pPr>
        <w:pStyle w:val="Default"/>
        <w:spacing w:line="276" w:lineRule="auto"/>
        <w:jc w:val="both"/>
        <w:rPr>
          <w:color w:val="404040"/>
          <w:sz w:val="23"/>
          <w:szCs w:val="23"/>
        </w:rPr>
      </w:pPr>
    </w:p>
    <w:p w14:paraId="30546DF9" w14:textId="77777777" w:rsidR="00747201" w:rsidRDefault="00FC772B">
      <w:pPr>
        <w:pStyle w:val="Default"/>
        <w:spacing w:line="276" w:lineRule="auto"/>
        <w:ind w:firstLine="708"/>
        <w:jc w:val="both"/>
        <w:rPr>
          <w:color w:val="404040"/>
          <w:sz w:val="23"/>
          <w:szCs w:val="23"/>
        </w:rPr>
      </w:pPr>
      <w:r>
        <w:rPr>
          <w:color w:val="404040"/>
          <w:sz w:val="23"/>
          <w:szCs w:val="23"/>
        </w:rPr>
        <w:t>Iz prethodne financijske godine trgovačko društvo Eko Promina d.o.o. je prenijelo gubitak u iznosu od 0,00 €, dok je prethodne, tj. 2023. godine preneseni gubitak iznosio 0,00 €.</w:t>
      </w:r>
    </w:p>
    <w:p w14:paraId="30546DFA" w14:textId="77777777" w:rsidR="00747201" w:rsidRDefault="00747201">
      <w:pPr>
        <w:pStyle w:val="Default"/>
        <w:spacing w:line="276" w:lineRule="auto"/>
        <w:jc w:val="center"/>
        <w:rPr>
          <w:color w:val="404040"/>
          <w:sz w:val="23"/>
          <w:szCs w:val="23"/>
        </w:rPr>
      </w:pPr>
    </w:p>
    <w:p w14:paraId="30546DFB" w14:textId="77777777" w:rsidR="00747201" w:rsidRDefault="00FC772B">
      <w:pPr>
        <w:pStyle w:val="Default"/>
        <w:spacing w:line="276" w:lineRule="auto"/>
        <w:ind w:firstLine="708"/>
        <w:jc w:val="both"/>
        <w:rPr>
          <w:b/>
          <w:color w:val="404040"/>
          <w:sz w:val="23"/>
          <w:szCs w:val="23"/>
        </w:rPr>
      </w:pPr>
      <w:r>
        <w:rPr>
          <w:b/>
          <w:color w:val="404040"/>
          <w:sz w:val="23"/>
          <w:szCs w:val="23"/>
        </w:rPr>
        <w:t>Dobit ili gubitak poslovne godine</w:t>
      </w:r>
    </w:p>
    <w:p w14:paraId="30546DFC" w14:textId="77777777" w:rsidR="00747201" w:rsidRDefault="00FC772B">
      <w:pPr>
        <w:pStyle w:val="Default"/>
        <w:spacing w:line="276" w:lineRule="auto"/>
        <w:jc w:val="both"/>
        <w:rPr>
          <w:color w:val="404040"/>
          <w:sz w:val="23"/>
          <w:szCs w:val="23"/>
        </w:rPr>
      </w:pPr>
      <w:r>
        <w:rPr>
          <w:color w:val="404040"/>
          <w:sz w:val="23"/>
          <w:szCs w:val="23"/>
        </w:rPr>
        <w:tab/>
        <w:t>Dobit poslovne 2024. godine iznosi 9.179,20 €, što je promjena od 708,83 % uspoređujući s 2023. godinom, odnosno gubitak iznosi 0,00 € što predstavlja promjenu od 0,00 %. Prethodne poslovne godine dobit je iznosila 1.134,87 €, odnosno Društvo je ostvarilo gubitak od 0,00 €.</w:t>
      </w:r>
    </w:p>
    <w:p w14:paraId="30546DFD" w14:textId="77777777" w:rsidR="00747201" w:rsidRDefault="00747201">
      <w:pPr>
        <w:pStyle w:val="Default"/>
        <w:spacing w:line="276" w:lineRule="auto"/>
        <w:jc w:val="both"/>
        <w:rPr>
          <w:color w:val="404040"/>
          <w:sz w:val="23"/>
          <w:szCs w:val="23"/>
        </w:rPr>
      </w:pPr>
    </w:p>
    <w:p w14:paraId="30546DFE" w14:textId="77777777" w:rsidR="00747201" w:rsidRDefault="00FC772B">
      <w:pPr>
        <w:pStyle w:val="Default"/>
        <w:spacing w:line="276" w:lineRule="auto"/>
        <w:ind w:firstLine="708"/>
        <w:jc w:val="both"/>
        <w:rPr>
          <w:b/>
          <w:color w:val="404040"/>
          <w:sz w:val="23"/>
          <w:szCs w:val="23"/>
        </w:rPr>
      </w:pPr>
      <w:r>
        <w:rPr>
          <w:b/>
          <w:color w:val="404040"/>
          <w:sz w:val="23"/>
          <w:szCs w:val="23"/>
        </w:rPr>
        <w:t>Obveze</w:t>
      </w:r>
    </w:p>
    <w:p w14:paraId="30546DFF" w14:textId="77777777" w:rsidR="00747201" w:rsidRDefault="00FC772B">
      <w:pPr>
        <w:pStyle w:val="Default"/>
        <w:spacing w:line="276" w:lineRule="auto"/>
        <w:jc w:val="both"/>
        <w:rPr>
          <w:color w:val="404040"/>
          <w:sz w:val="23"/>
          <w:szCs w:val="23"/>
        </w:rPr>
      </w:pPr>
      <w:r>
        <w:rPr>
          <w:color w:val="404040"/>
          <w:sz w:val="23"/>
          <w:szCs w:val="23"/>
        </w:rPr>
        <w:tab/>
        <w:t>Ukupne obveze Društva 2024. godine iznose 15.457,83 €, a 2023. godine iznosile su 8.581,99 €, tj. u odnosu na prethodnu poslovnu godinu promijenile su se 80,12 puta, u svoti od 6.875,84 €.</w:t>
      </w:r>
    </w:p>
    <w:p w14:paraId="30546E00" w14:textId="77777777" w:rsidR="00747201" w:rsidRDefault="00747201">
      <w:pPr>
        <w:pStyle w:val="Default"/>
        <w:spacing w:line="276" w:lineRule="auto"/>
        <w:jc w:val="both"/>
        <w:rPr>
          <w:color w:val="404040"/>
          <w:sz w:val="23"/>
          <w:szCs w:val="23"/>
        </w:rPr>
      </w:pPr>
    </w:p>
    <w:p w14:paraId="30546E01" w14:textId="77777777" w:rsidR="00747201" w:rsidRDefault="00FC772B">
      <w:pPr>
        <w:pStyle w:val="Default"/>
        <w:spacing w:line="276" w:lineRule="auto"/>
        <w:jc w:val="center"/>
        <w:rPr>
          <w:color w:val="404040"/>
          <w:sz w:val="23"/>
          <w:szCs w:val="23"/>
        </w:rPr>
      </w:pPr>
      <w:r>
        <w:rPr>
          <w:noProof/>
        </w:rPr>
        <w:drawing>
          <wp:inline distT="0" distB="0" distL="0" distR="0" wp14:anchorId="30546E26" wp14:editId="30546E27">
            <wp:extent cx="3957320" cy="1649392"/>
            <wp:effectExtent l="0" t="0" r="5080" b="1905"/>
            <wp:docPr id="7" name="Диаграмма 44" title="chart_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0546E02" w14:textId="77777777" w:rsidR="00747201" w:rsidRDefault="00747201">
      <w:pPr>
        <w:pStyle w:val="Default"/>
        <w:spacing w:line="276" w:lineRule="auto"/>
        <w:jc w:val="center"/>
        <w:rPr>
          <w:color w:val="404040"/>
          <w:sz w:val="23"/>
          <w:szCs w:val="23"/>
        </w:rPr>
      </w:pPr>
    </w:p>
    <w:p w14:paraId="30546E03" w14:textId="77777777" w:rsidR="00747201" w:rsidRDefault="00FC772B">
      <w:pPr>
        <w:pStyle w:val="Default"/>
        <w:spacing w:line="276" w:lineRule="auto"/>
        <w:jc w:val="both"/>
        <w:rPr>
          <w:color w:val="404040"/>
          <w:sz w:val="23"/>
          <w:szCs w:val="23"/>
        </w:rPr>
      </w:pPr>
      <w:r>
        <w:rPr>
          <w:color w:val="404040"/>
          <w:sz w:val="23"/>
          <w:szCs w:val="23"/>
        </w:rPr>
        <w:tab/>
      </w:r>
      <w:r>
        <w:rPr>
          <w:b/>
          <w:color w:val="404040"/>
          <w:sz w:val="23"/>
          <w:szCs w:val="23"/>
        </w:rPr>
        <w:t>Ukupne obveze</w:t>
      </w:r>
    </w:p>
    <w:p w14:paraId="30546E04" w14:textId="77777777" w:rsidR="00747201" w:rsidRDefault="00FC772B">
      <w:pPr>
        <w:pStyle w:val="Default"/>
        <w:spacing w:line="276" w:lineRule="auto"/>
        <w:jc w:val="both"/>
        <w:rPr>
          <w:color w:val="404040"/>
          <w:sz w:val="23"/>
          <w:szCs w:val="23"/>
        </w:rPr>
      </w:pPr>
      <w:r>
        <w:rPr>
          <w:color w:val="404040"/>
          <w:sz w:val="23"/>
          <w:szCs w:val="23"/>
        </w:rPr>
        <w:tab/>
      </w:r>
      <w:r>
        <w:rPr>
          <w:color w:val="404040"/>
          <w:sz w:val="23"/>
          <w:szCs w:val="23"/>
        </w:rPr>
        <w:t>sastoje se od dugoročnih obveza, koje u izvještajnoj godini iznose 0,00 €, i od kratkoročnih obveza koje iznose 15.457,83 €. U odnosu na prethodnu godinu to je promjena od 0,00 %, tj. od 80,12, respektivno.</w:t>
      </w:r>
    </w:p>
    <w:p w14:paraId="30546E05" w14:textId="77777777" w:rsidR="00747201" w:rsidRDefault="00747201">
      <w:pPr>
        <w:pStyle w:val="Default"/>
        <w:spacing w:line="276" w:lineRule="auto"/>
        <w:jc w:val="both"/>
        <w:rPr>
          <w:color w:val="404040"/>
          <w:sz w:val="23"/>
          <w:szCs w:val="23"/>
        </w:rPr>
      </w:pPr>
    </w:p>
    <w:p w14:paraId="30546E06" w14:textId="77777777" w:rsidR="00747201" w:rsidRDefault="00FC772B">
      <w:pPr>
        <w:pStyle w:val="Default"/>
        <w:spacing w:line="276" w:lineRule="auto"/>
        <w:ind w:firstLine="708"/>
        <w:jc w:val="both"/>
        <w:rPr>
          <w:color w:val="404040"/>
          <w:sz w:val="23"/>
          <w:szCs w:val="23"/>
        </w:rPr>
      </w:pPr>
      <w:r>
        <w:rPr>
          <w:b/>
          <w:color w:val="404040"/>
          <w:sz w:val="23"/>
          <w:szCs w:val="23"/>
        </w:rPr>
        <w:t>Dugoročne obveze</w:t>
      </w:r>
    </w:p>
    <w:p w14:paraId="30546E07" w14:textId="77777777" w:rsidR="00747201" w:rsidRDefault="00FC772B">
      <w:pPr>
        <w:pStyle w:val="Default"/>
        <w:spacing w:line="276" w:lineRule="auto"/>
        <w:ind w:firstLine="708"/>
        <w:jc w:val="both"/>
        <w:rPr>
          <w:color w:val="404040"/>
          <w:sz w:val="23"/>
          <w:szCs w:val="23"/>
        </w:rPr>
      </w:pPr>
      <w:r>
        <w:rPr>
          <w:color w:val="404040"/>
          <w:sz w:val="23"/>
          <w:szCs w:val="23"/>
        </w:rPr>
        <w:t>prema bankama i drugim financijskim institucijama promijenile su se u odnosu na isti dan 2023. godine u svoti od 0,00 €. Obveze Društva, dviju usporednih godina izvještavanja, prema dobavljačima promijenile su se u svoti od 0,00 €.</w:t>
      </w:r>
    </w:p>
    <w:p w14:paraId="30546E08" w14:textId="77777777" w:rsidR="00747201" w:rsidRDefault="00747201">
      <w:pPr>
        <w:pStyle w:val="Default"/>
        <w:spacing w:line="276" w:lineRule="auto"/>
        <w:jc w:val="both"/>
        <w:rPr>
          <w:color w:val="404040"/>
          <w:sz w:val="23"/>
          <w:szCs w:val="23"/>
        </w:rPr>
      </w:pPr>
    </w:p>
    <w:p w14:paraId="30546E09" w14:textId="77777777" w:rsidR="00747201" w:rsidRDefault="00FC772B">
      <w:pPr>
        <w:pStyle w:val="Default"/>
        <w:spacing w:line="276" w:lineRule="auto"/>
        <w:jc w:val="center"/>
        <w:rPr>
          <w:color w:val="404040"/>
          <w:sz w:val="23"/>
          <w:szCs w:val="23"/>
        </w:rPr>
      </w:pPr>
      <w:r>
        <w:rPr>
          <w:noProof/>
        </w:rPr>
        <w:lastRenderedPageBreak/>
        <w:drawing>
          <wp:inline distT="0" distB="0" distL="0" distR="0" wp14:anchorId="30546E28" wp14:editId="30546E29">
            <wp:extent cx="5400000" cy="3600000"/>
            <wp:effectExtent l="0" t="0" r="0" b="0"/>
            <wp:docPr id="8" name="Диаграмма 46" title="chart_2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0546E0A" w14:textId="77777777" w:rsidR="00747201" w:rsidRDefault="00FC772B">
      <w:pPr>
        <w:pStyle w:val="Default"/>
        <w:spacing w:line="276" w:lineRule="auto"/>
        <w:ind w:firstLine="708"/>
        <w:jc w:val="both"/>
        <w:rPr>
          <w:color w:val="404040"/>
          <w:sz w:val="23"/>
          <w:szCs w:val="23"/>
        </w:rPr>
      </w:pPr>
      <w:r>
        <w:rPr>
          <w:color w:val="404040"/>
          <w:sz w:val="23"/>
          <w:szCs w:val="23"/>
        </w:rPr>
        <w:t>Prema stanju na dan 31.12. 2024. godine kratkoročne obveze Društva iznose 15.457,83 €.</w:t>
      </w:r>
    </w:p>
    <w:p w14:paraId="30546E0B" w14:textId="77777777" w:rsidR="00747201" w:rsidRDefault="00747201">
      <w:pPr>
        <w:pStyle w:val="Default"/>
        <w:spacing w:line="276" w:lineRule="auto"/>
        <w:jc w:val="both"/>
        <w:rPr>
          <w:color w:val="404040"/>
          <w:sz w:val="23"/>
          <w:szCs w:val="23"/>
        </w:rPr>
      </w:pPr>
    </w:p>
    <w:p w14:paraId="30546E0C" w14:textId="77777777" w:rsidR="00747201" w:rsidRDefault="00FC772B">
      <w:pPr>
        <w:pStyle w:val="Default"/>
        <w:spacing w:line="276" w:lineRule="auto"/>
        <w:ind w:firstLine="708"/>
        <w:jc w:val="both"/>
        <w:rPr>
          <w:color w:val="404040"/>
          <w:sz w:val="23"/>
          <w:szCs w:val="23"/>
        </w:rPr>
      </w:pPr>
      <w:r>
        <w:rPr>
          <w:color w:val="404040"/>
          <w:sz w:val="23"/>
          <w:szCs w:val="23"/>
        </w:rPr>
        <w:t>Društvo na dan 31.12. 2024. godine duguje bankama i drugim financijskim institucijama 0,00 € koje čine -100,00 % ukupnih kratkoročnih obveza. U odnosu na isti dan prethodne financijske godine to je promjena u svoti od 0,00 €.</w:t>
      </w:r>
    </w:p>
    <w:p w14:paraId="30546E0D" w14:textId="77777777" w:rsidR="00747201" w:rsidRDefault="00747201">
      <w:pPr>
        <w:pStyle w:val="Default"/>
        <w:spacing w:line="276" w:lineRule="auto"/>
        <w:jc w:val="both"/>
        <w:rPr>
          <w:color w:val="404040"/>
          <w:sz w:val="23"/>
          <w:szCs w:val="23"/>
        </w:rPr>
      </w:pPr>
    </w:p>
    <w:p w14:paraId="30546E0E" w14:textId="77777777" w:rsidR="00747201" w:rsidRDefault="00FC772B">
      <w:pPr>
        <w:pStyle w:val="Default"/>
        <w:spacing w:line="276" w:lineRule="auto"/>
        <w:jc w:val="both"/>
        <w:rPr>
          <w:color w:val="404040"/>
          <w:sz w:val="23"/>
          <w:szCs w:val="23"/>
        </w:rPr>
      </w:pPr>
      <w:r>
        <w:rPr>
          <w:color w:val="404040"/>
          <w:sz w:val="23"/>
          <w:szCs w:val="23"/>
        </w:rPr>
        <w:tab/>
      </w:r>
      <w:r>
        <w:rPr>
          <w:b/>
          <w:color w:val="404040"/>
          <w:sz w:val="23"/>
          <w:szCs w:val="23"/>
        </w:rPr>
        <w:t>Kratkoročne obveze</w:t>
      </w:r>
    </w:p>
    <w:p w14:paraId="30546E0F" w14:textId="77777777" w:rsidR="00747201" w:rsidRDefault="00FC772B">
      <w:pPr>
        <w:pStyle w:val="Default"/>
        <w:spacing w:line="276" w:lineRule="auto"/>
        <w:jc w:val="both"/>
        <w:rPr>
          <w:color w:val="404040"/>
          <w:sz w:val="23"/>
          <w:szCs w:val="23"/>
        </w:rPr>
      </w:pPr>
      <w:r>
        <w:rPr>
          <w:color w:val="404040"/>
          <w:sz w:val="23"/>
          <w:szCs w:val="23"/>
        </w:rPr>
        <w:tab/>
        <w:t>prema dobavljačima promijenile su se za 127,64 %, odnosno u svoti od 2.768,91 €, a odnose se na obveze prema dobavljačima u zemlji, prema dobavljačima u inozemstvu za nabavku materijala, roba i usluga.</w:t>
      </w:r>
    </w:p>
    <w:p w14:paraId="30546E10" w14:textId="77777777" w:rsidR="00747201" w:rsidRDefault="00FC772B">
      <w:pPr>
        <w:pStyle w:val="Default"/>
        <w:spacing w:line="276" w:lineRule="auto"/>
        <w:jc w:val="both"/>
        <w:rPr>
          <w:color w:val="404040"/>
          <w:sz w:val="23"/>
          <w:szCs w:val="23"/>
        </w:rPr>
      </w:pPr>
      <w:r>
        <w:rPr>
          <w:color w:val="404040"/>
          <w:sz w:val="23"/>
          <w:szCs w:val="23"/>
        </w:rPr>
        <w:tab/>
      </w:r>
    </w:p>
    <w:p w14:paraId="30546E11" w14:textId="77777777" w:rsidR="00747201" w:rsidRDefault="00FC772B">
      <w:pPr>
        <w:pStyle w:val="Default"/>
        <w:spacing w:line="276" w:lineRule="auto"/>
        <w:ind w:firstLine="708"/>
        <w:jc w:val="both"/>
        <w:rPr>
          <w:color w:val="404040"/>
          <w:sz w:val="23"/>
          <w:szCs w:val="23"/>
        </w:rPr>
      </w:pPr>
      <w:r>
        <w:rPr>
          <w:color w:val="404040"/>
          <w:sz w:val="23"/>
          <w:szCs w:val="23"/>
        </w:rPr>
        <w:t>Na kraju 2024. godinu trgovačko društvo Eko Promina d.o.o. zaposlenicima za neisplaćene plaće duguje 5.674,00 €. U strukturi ukupnih kratkoročnih obveza obveze prema zaposlenicima čine 36,71 %.</w:t>
      </w:r>
    </w:p>
    <w:p w14:paraId="30546E12" w14:textId="77777777" w:rsidR="00747201" w:rsidRDefault="00FC772B">
      <w:pPr>
        <w:pStyle w:val="Default"/>
        <w:spacing w:line="276" w:lineRule="auto"/>
        <w:jc w:val="both"/>
        <w:rPr>
          <w:color w:val="404040"/>
          <w:sz w:val="23"/>
          <w:szCs w:val="23"/>
        </w:rPr>
      </w:pPr>
      <w:r>
        <w:rPr>
          <w:noProof/>
        </w:rPr>
        <w:lastRenderedPageBreak/>
        <w:drawing>
          <wp:inline distT="0" distB="0" distL="0" distR="0" wp14:anchorId="30546E2A" wp14:editId="30546E2B">
            <wp:extent cx="5399405" cy="3576577"/>
            <wp:effectExtent l="0" t="0" r="0" b="5080"/>
            <wp:docPr id="9" name="Диаграмма 48" title="chart_2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0546E13" w14:textId="77777777" w:rsidR="00747201" w:rsidRDefault="00FC772B">
      <w:pPr>
        <w:pStyle w:val="Default"/>
        <w:spacing w:line="276" w:lineRule="auto"/>
        <w:jc w:val="both"/>
        <w:rPr>
          <w:color w:val="404040"/>
          <w:sz w:val="23"/>
          <w:szCs w:val="23"/>
        </w:rPr>
      </w:pPr>
      <w:r>
        <w:rPr>
          <w:color w:val="404040"/>
          <w:sz w:val="23"/>
          <w:szCs w:val="23"/>
        </w:rPr>
        <w:tab/>
      </w:r>
    </w:p>
    <w:p w14:paraId="30546E14" w14:textId="77777777" w:rsidR="00747201" w:rsidRDefault="00FC772B">
      <w:pPr>
        <w:pStyle w:val="Default"/>
        <w:spacing w:line="276" w:lineRule="auto"/>
        <w:ind w:firstLine="708"/>
        <w:jc w:val="both"/>
        <w:rPr>
          <w:color w:val="404040"/>
          <w:sz w:val="23"/>
          <w:szCs w:val="23"/>
        </w:rPr>
      </w:pPr>
      <w:r>
        <w:rPr>
          <w:color w:val="404040"/>
          <w:sz w:val="23"/>
          <w:szCs w:val="23"/>
        </w:rPr>
        <w:t>Obveze za poreze doprinose i slična davanja Društva za 2024. godinu čine 31,35 % ukupnih kratkoročnih obveza, a čine je obveze za doprinos za šume, članarinu turističkoj zajednici, porez na dobit, obveze prema zaposlenima za prijevoz na posao i s posla, obveze za povratnu naknadu za ambalažu i ostale obveze, a iznose 4.845,66 €.</w:t>
      </w:r>
    </w:p>
    <w:p w14:paraId="30546E15" w14:textId="77777777" w:rsidR="00747201" w:rsidRDefault="00FC772B">
      <w:pPr>
        <w:pStyle w:val="Default"/>
        <w:spacing w:line="276" w:lineRule="auto"/>
        <w:jc w:val="center"/>
        <w:rPr>
          <w:b/>
          <w:bCs/>
          <w:color w:val="404040"/>
          <w:sz w:val="40"/>
          <w:szCs w:val="40"/>
        </w:rPr>
      </w:pPr>
      <w:r>
        <w:rPr>
          <w:b/>
          <w:bCs/>
          <w:color w:val="404040"/>
          <w:sz w:val="40"/>
          <w:szCs w:val="40"/>
        </w:rPr>
        <w:t>* * *</w:t>
      </w:r>
    </w:p>
    <w:p w14:paraId="44F6BDAD" w14:textId="77777777" w:rsidR="00FC772B" w:rsidRDefault="00FC772B" w:rsidP="00FC772B">
      <w:pPr>
        <w:spacing w:line="240" w:lineRule="auto"/>
        <w:rPr>
          <w:color w:val="404040"/>
          <w:sz w:val="23"/>
          <w:szCs w:val="23"/>
          <w:highlight w:val="white"/>
        </w:rPr>
      </w:pPr>
    </w:p>
    <w:p w14:paraId="30546E16" w14:textId="01A57E9B" w:rsidR="00747201" w:rsidRDefault="00FC772B" w:rsidP="00FC772B">
      <w:pPr>
        <w:spacing w:line="240" w:lineRule="auto"/>
        <w:rPr>
          <w:color w:val="404040"/>
          <w:sz w:val="23"/>
          <w:szCs w:val="23"/>
        </w:rPr>
      </w:pPr>
      <w:r>
        <w:rPr>
          <w:color w:val="404040"/>
          <w:sz w:val="23"/>
          <w:szCs w:val="23"/>
          <w:highlight w:val="white"/>
        </w:rPr>
        <w:t xml:space="preserve">Oklaj, dana </w:t>
      </w:r>
      <w:r>
        <w:rPr>
          <w:color w:val="404040"/>
          <w:sz w:val="23"/>
          <w:szCs w:val="23"/>
        </w:rPr>
        <w:t>10.</w:t>
      </w:r>
      <w:r w:rsidR="001F1C52">
        <w:rPr>
          <w:color w:val="404040"/>
          <w:sz w:val="23"/>
          <w:szCs w:val="23"/>
        </w:rPr>
        <w:t xml:space="preserve"> </w:t>
      </w:r>
      <w:r>
        <w:rPr>
          <w:color w:val="404040"/>
          <w:sz w:val="23"/>
          <w:szCs w:val="23"/>
        </w:rPr>
        <w:t>4.2025</w:t>
      </w:r>
      <w:r>
        <w:rPr>
          <w:color w:val="404040"/>
          <w:sz w:val="23"/>
          <w:szCs w:val="23"/>
          <w:highlight w:val="white"/>
        </w:rPr>
        <w:t>. g</w:t>
      </w:r>
      <w:proofErr w:type="spellStart"/>
      <w:r>
        <w:rPr>
          <w:color w:val="404040"/>
          <w:sz w:val="23"/>
          <w:szCs w:val="23"/>
          <w:highlight w:val="white"/>
        </w:rPr>
        <w:t>odine</w:t>
      </w:r>
      <w:proofErr w:type="spellEnd"/>
    </w:p>
    <w:p w14:paraId="4C8C371C" w14:textId="77777777" w:rsidR="00FC772B" w:rsidRDefault="00FC772B" w:rsidP="00FC772B">
      <w:pPr>
        <w:spacing w:line="240" w:lineRule="auto"/>
        <w:rPr>
          <w:color w:val="404040"/>
          <w:sz w:val="23"/>
          <w:szCs w:val="23"/>
        </w:rPr>
      </w:pPr>
      <w:r>
        <w:rPr>
          <w:color w:val="404040"/>
          <w:sz w:val="23"/>
          <w:szCs w:val="23"/>
        </w:rPr>
        <w:t>Za Eko Promina d.o.o.</w:t>
      </w:r>
    </w:p>
    <w:p w14:paraId="30546E17" w14:textId="208D8632" w:rsidR="00747201" w:rsidRDefault="00FC772B" w:rsidP="00FC772B">
      <w:pPr>
        <w:spacing w:line="240" w:lineRule="auto"/>
        <w:rPr>
          <w:color w:val="404040"/>
          <w:sz w:val="23"/>
          <w:szCs w:val="23"/>
        </w:rPr>
      </w:pPr>
      <w:proofErr w:type="spellStart"/>
      <w:r>
        <w:rPr>
          <w:color w:val="404040"/>
          <w:sz w:val="23"/>
          <w:szCs w:val="23"/>
        </w:rPr>
        <w:t>O</w:t>
      </w:r>
      <w:r>
        <w:rPr>
          <w:color w:val="404040"/>
          <w:sz w:val="23"/>
          <w:szCs w:val="23"/>
        </w:rPr>
        <w:t>vlaštena</w:t>
      </w:r>
      <w:proofErr w:type="spellEnd"/>
      <w:r>
        <w:rPr>
          <w:color w:val="404040"/>
          <w:sz w:val="23"/>
          <w:szCs w:val="23"/>
        </w:rPr>
        <w:t xml:space="preserve"> </w:t>
      </w:r>
      <w:proofErr w:type="spellStart"/>
      <w:r>
        <w:rPr>
          <w:color w:val="404040"/>
          <w:sz w:val="23"/>
          <w:szCs w:val="23"/>
        </w:rPr>
        <w:t>osoba</w:t>
      </w:r>
      <w:proofErr w:type="spellEnd"/>
      <w:r>
        <w:rPr>
          <w:color w:val="404040"/>
          <w:sz w:val="23"/>
          <w:szCs w:val="23"/>
        </w:rPr>
        <w:t xml:space="preserve"> </w:t>
      </w:r>
      <w:proofErr w:type="spellStart"/>
      <w:r>
        <w:rPr>
          <w:color w:val="404040"/>
          <w:sz w:val="23"/>
          <w:szCs w:val="23"/>
        </w:rPr>
        <w:t>Društva</w:t>
      </w:r>
      <w:proofErr w:type="spellEnd"/>
    </w:p>
    <w:p w14:paraId="30546E19" w14:textId="77777777" w:rsidR="00747201" w:rsidRDefault="00FC772B" w:rsidP="00FC772B">
      <w:pPr>
        <w:spacing w:line="240" w:lineRule="auto"/>
        <w:rPr>
          <w:color w:val="404040"/>
          <w:sz w:val="23"/>
          <w:szCs w:val="23"/>
          <w:highlight w:val="white"/>
        </w:rPr>
      </w:pPr>
      <w:r>
        <w:rPr>
          <w:color w:val="404040"/>
          <w:sz w:val="23"/>
          <w:szCs w:val="23"/>
        </w:rPr>
        <w:t>Barbara Nakić-Alfirević</w:t>
      </w:r>
    </w:p>
    <w:sectPr w:rsidR="00747201">
      <w:headerReference w:type="default" r:id="rId17"/>
      <w:footerReference w:type="default" r:id="rId18"/>
      <w:pgSz w:w="11906" w:h="16838"/>
      <w:pgMar w:top="1417" w:right="1417" w:bottom="993"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546E38" w14:textId="77777777" w:rsidR="00FC772B" w:rsidRDefault="00FC772B">
      <w:pPr>
        <w:spacing w:after="0" w:line="240" w:lineRule="auto"/>
      </w:pPr>
      <w:r>
        <w:separator/>
      </w:r>
    </w:p>
  </w:endnote>
  <w:endnote w:type="continuationSeparator" w:id="0">
    <w:p w14:paraId="30546E3A" w14:textId="77777777" w:rsidR="00FC772B" w:rsidRDefault="00FC77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w:altName w:val="Sylfaen"/>
    <w:charset w:val="00"/>
    <w:family w:val="auto"/>
    <w:pitch w:val="variable"/>
    <w:sig w:usb0="E50002FF" w:usb1="500079DB" w:usb2="0000001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546E2D" w14:textId="77777777" w:rsidR="00747201" w:rsidRDefault="00FC772B">
    <w:pPr>
      <w:pStyle w:val="Podnoje"/>
      <w:jc w:val="right"/>
      <w:rPr>
        <w:color w:val="7F7F7F"/>
      </w:rPr>
    </w:pPr>
    <w:r>
      <w:rPr>
        <w:noProof/>
      </w:rPr>
      <mc:AlternateContent>
        <mc:Choice Requires="wps">
          <w:drawing>
            <wp:anchor distT="0" distB="0" distL="114300" distR="114300" simplePos="0" relativeHeight="251658240" behindDoc="0" locked="0" layoutInCell="1" allowOverlap="1" wp14:anchorId="30546E34" wp14:editId="30546E35">
              <wp:simplePos x="0" y="0"/>
              <wp:positionH relativeFrom="column">
                <wp:posOffset>5448681</wp:posOffset>
              </wp:positionH>
              <wp:positionV relativeFrom="paragraph">
                <wp:posOffset>10668</wp:posOffset>
              </wp:positionV>
              <wp:extent cx="565785" cy="191770"/>
              <wp:effectExtent l="0" t="0" r="0" b="0"/>
              <wp:wrapNone/>
              <wp:docPr id="10" name="Pravokutnik 18"/>
              <wp:cNvGraphicFramePr/>
              <a:graphic xmlns:a="http://schemas.openxmlformats.org/drawingml/2006/main">
                <a:graphicData uri="http://schemas.microsoft.com/office/word/2010/wordprocessingShape">
                  <wps:wsp>
                    <wps:cNvSpPr/>
                    <wps:spPr>
                      <a:xfrm rot="10800000" flipH="1">
                        <a:off x="0" y="0"/>
                        <a:ext cx="565785" cy="191770"/>
                      </a:xfrm>
                      <a:prstGeom prst="rect">
                        <a:avLst/>
                      </a:prstGeom>
                      <a:noFill/>
                      <a:ln w="12700" cap="flat" cmpd="sng">
                        <a:prstDash val="solid"/>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30546E36" w14:textId="77777777" w:rsidR="00747201" w:rsidRDefault="00FC772B">
                          <w:pPr>
                            <w:pBdr>
                              <w:top w:val="single" w:sz="4" w:space="1" w:color="7F7F7F"/>
                            </w:pBdr>
                            <w:jc w:val="center"/>
                            <w:rPr>
                              <w:color w:val="404040"/>
                            </w:rPr>
                          </w:pPr>
                          <w:r>
                            <w:rPr>
                              <w:color w:val="404040"/>
                            </w:rPr>
                            <w:fldChar w:fldCharType="begin"/>
                          </w:r>
                          <w:r>
                            <w:rPr>
                              <w:color w:val="404040"/>
                            </w:rPr>
                            <w:instrText>PAGE   \* MERGEFORMAT</w:instrText>
                          </w:r>
                          <w:r>
                            <w:rPr>
                              <w:color w:val="404040"/>
                            </w:rPr>
                            <w:fldChar w:fldCharType="separate"/>
                          </w:r>
                          <w:r>
                            <w:rPr>
                              <w:color w:val="404040"/>
                              <w:lang w:val="hr-HR"/>
                            </w:rPr>
                            <w:t>1</w:t>
                          </w:r>
                          <w:r>
                            <w:rPr>
                              <w:color w:val="404040"/>
                            </w:rPr>
                            <w:fldChar w:fldCharType="end"/>
                          </w:r>
                        </w:p>
                      </w:txbxContent>
                    </wps:txbx>
                    <wps:bodyPr rot="0" spcFirstLastPara="0" vertOverflow="overflow" horzOverflow="overflow" vert="horz" wrap="square" lIns="91440" tIns="0" rIns="91440" bIns="0" numCol="1" spcCol="0" rtlCol="0" fromWordArt="0" anchor="t" anchorCtr="0" forceAA="0" upright="1" compatLnSpc="1">
                      <a:prstTxWarp prst="textNoShape">
                        <a:avLst/>
                      </a:prstTxWarp>
                      <a:noAutofit/>
                    </wps:bodyPr>
                  </wps:wsp>
                </a:graphicData>
              </a:graphic>
            </wp:anchor>
          </w:drawing>
        </mc:Choice>
        <mc:Fallback>
          <w:pict>
            <v:rect w14:anchorId="30546E34" id="Pravokutnik 18" o:spid="_x0000_s1026" style="position:absolute;left:0;text-align:left;margin-left:429.05pt;margin-top:.85pt;width:44.55pt;height:15.1pt;rotation:180;flip:x;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" filled="f" fillcolor="#c0504d" stroked="f" strokecolor="#5c83b4" strokeweight="2.25pt">
              <v:textbox inset=",0,,0">
                <w:txbxContent>
                  <w:p w14:paraId="30546E36" w14:textId="77777777" w:rsidR="00747201" w:rsidRDefault="00FC772B">
                    <w:pPr>
                      <w:pBdr>
                        <w:top w:val="single" w:sz="4" w:space="1" w:color="7F7F7F"/>
                      </w:pBdr>
                      <w:jc w:val="center"/>
                      <w:rPr>
                        <w:color w:val="404040"/>
                      </w:rPr>
                    </w:pPr>
                    <w:r>
                      <w:rPr>
                        <w:color w:val="404040"/>
                      </w:rPr>
                      <w:fldChar w:fldCharType="begin"/>
                    </w:r>
                    <w:r>
                      <w:rPr>
                        <w:color w:val="404040"/>
                      </w:rPr>
                      <w:instrText>PAGE   \* MERGEFORMAT</w:instrText>
                    </w:r>
                    <w:r>
                      <w:rPr>
                        <w:color w:val="404040"/>
                      </w:rPr>
                      <w:fldChar w:fldCharType="separate"/>
                    </w:r>
                    <w:r>
                      <w:rPr>
                        <w:color w:val="404040"/>
                        <w:lang w:val="hr-HR"/>
                      </w:rPr>
                      <w:t>1</w:t>
                    </w:r>
                    <w:r>
                      <w:rPr>
                        <w:color w:val="404040"/>
                      </w:rPr>
                      <w:fldChar w:fldCharType="end"/>
                    </w:r>
                  </w:p>
                </w:txbxContent>
              </v:textbox>
            </v:rect>
          </w:pict>
        </mc:Fallback>
      </mc:AlternateContent>
    </w:r>
  </w:p>
  <w:sdt>
    <w:sdtPr>
      <w:id w:val="-524104854"/>
      <w:docPartObj>
        <w:docPartGallery w:val="Page Numbers (Bottom of Page)"/>
        <w:docPartUnique/>
      </w:docPartObj>
    </w:sdtPr>
    <w:sdtEndPr>
      <w:rPr>
        <w:color w:val="7F7F7F"/>
      </w:rPr>
    </w:sdtEndPr>
    <w:sdtContent>
      <w:tbl>
        <w:tblPr>
          <w:tblW w:w="9628" w:type="dxa"/>
          <w:tblBorders>
            <w:top w:val="nil"/>
            <w:left w:val="nil"/>
            <w:bottom w:val="nil"/>
            <w:right w:val="nil"/>
            <w:insideH w:val="nil"/>
            <w:insideV w:val="nil"/>
          </w:tblBorders>
          <w:tblLayout w:type="fixed"/>
          <w:tblLook w:val="0400" w:firstRow="0" w:lastRow="0" w:firstColumn="0" w:lastColumn="0" w:noHBand="0" w:noVBand="1"/>
        </w:tblPr>
        <w:tblGrid>
          <w:gridCol w:w="4434"/>
          <w:gridCol w:w="5194"/>
        </w:tblGrid>
        <w:tr w:rsidR="00747201" w14:paraId="30546E2F" w14:textId="77777777">
          <w:trPr>
            <w:gridAfter w:val="1"/>
            <w:wAfter w:w="5194" w:type="dxa"/>
          </w:trPr>
          <w:tc>
            <w:tcPr>
              <w:tcW w:w="4434" w:type="dxa"/>
            </w:tcPr>
            <w:p w14:paraId="30546E2E" w14:textId="77777777" w:rsidR="00747201" w:rsidRDefault="00FC772B">
              <w:pPr>
                <w:ind w:right="-208"/>
                <w:rPr>
                  <w:sz w:val="14"/>
                  <w:szCs w:val="14"/>
                </w:rPr>
              </w:pPr>
              <w:hyperlink r:id="rId1" w:history="1">
                <w:r>
                  <w:rPr>
                    <w:rStyle w:val="Hiperveza"/>
                    <w:color w:val="595959"/>
                    <w:sz w:val="14"/>
                    <w:szCs w:val="14"/>
                  </w:rPr>
                  <w:t>Avidan.hr</w:t>
                </w:r>
              </w:hyperlink>
              <w:r>
                <w:rPr>
                  <w:sz w:val="14"/>
                  <w:szCs w:val="14"/>
                </w:rPr>
                <w:t xml:space="preserve"> ©</w:t>
              </w:r>
            </w:p>
          </w:tc>
        </w:tr>
        <w:tr w:rsidR="00747201" w14:paraId="30546E32" w14:textId="77777777">
          <w:tc>
            <w:tcPr>
              <w:tcW w:w="4434" w:type="dxa"/>
            </w:tcPr>
            <w:p w14:paraId="30546E30" w14:textId="77777777" w:rsidR="00747201" w:rsidRDefault="00747201">
              <w:pPr>
                <w:rPr>
                  <w:color w:val="7F7F7F"/>
                  <w:sz w:val="16"/>
                  <w:szCs w:val="16"/>
                </w:rPr>
              </w:pPr>
            </w:p>
          </w:tc>
          <w:tc>
            <w:tcPr>
              <w:tcW w:w="5194" w:type="dxa"/>
            </w:tcPr>
            <w:p w14:paraId="30546E31" w14:textId="77777777" w:rsidR="00747201" w:rsidRDefault="00747201">
              <w:pPr>
                <w:rPr>
                  <w:color w:val="7F7F7F"/>
                  <w:sz w:val="16"/>
                  <w:szCs w:val="16"/>
                  <w:highlight w:val="white"/>
                </w:rPr>
              </w:pPr>
            </w:p>
          </w:tc>
        </w:tr>
      </w:tbl>
      <w:p w14:paraId="30546E33" w14:textId="77777777" w:rsidR="00747201" w:rsidRDefault="00FC772B">
        <w:pPr>
          <w:pStyle w:val="Podnoje"/>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546E34" w14:textId="77777777" w:rsidR="00FC772B" w:rsidRDefault="00FC772B">
      <w:pPr>
        <w:spacing w:after="0" w:line="240" w:lineRule="auto"/>
      </w:pPr>
      <w:r>
        <w:separator/>
      </w:r>
    </w:p>
  </w:footnote>
  <w:footnote w:type="continuationSeparator" w:id="0">
    <w:p w14:paraId="30546E36" w14:textId="77777777" w:rsidR="00FC772B" w:rsidRDefault="00FC77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546E2C" w14:textId="77777777" w:rsidR="00747201" w:rsidRDefault="00747201">
    <w:pPr>
      <w:pStyle w:val="Zaglavlje"/>
      <w:jc w:val="cent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AFA7996"/>
    <w:multiLevelType w:val="multilevel"/>
    <w:tmpl w:val="63CAC770"/>
    <w:lvl w:ilvl="0">
      <w:start w:val="1"/>
      <w:numFmt w:val="lowerLetter"/>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AD4FBF"/>
    <w:multiLevelType w:val="multilevel"/>
    <w:tmpl w:val="A6EC5ECE"/>
    <w:lvl w:ilvl="0">
      <w:numFmt w:val="bullet"/>
      <w:lvlText w:val="-"/>
      <w:lvlJc w:val="left"/>
      <w:pPr>
        <w:ind w:left="1080" w:hanging="360"/>
      </w:pPr>
      <w:rPr>
        <w:rFonts w:ascii="Times New Roman" w:eastAsiaTheme="minorHAnsi" w:hAnsi="Times New Roman" w:cs="Times New Roman" w:hint="default"/>
        <w:b/>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 w15:restartNumberingAfterBreak="0">
    <w:nsid w:val="0880463D"/>
    <w:multiLevelType w:val="multilevel"/>
    <w:tmpl w:val="7EFCF864"/>
    <w:lvl w:ilvl="0">
      <w:start w:val="1"/>
      <w:numFmt w:val="bullet"/>
      <w:lvlText w:val=""/>
      <w:lvlJc w:val="left"/>
      <w:pPr>
        <w:ind w:left="1068" w:hanging="360"/>
      </w:pPr>
      <w:rPr>
        <w:rFonts w:ascii="Symbol" w:hAnsi="Symbol" w:hint="default"/>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hint="default"/>
      </w:rPr>
    </w:lvl>
    <w:lvl w:ilvl="3">
      <w:start w:val="1"/>
      <w:numFmt w:val="bullet"/>
      <w:lvlText w:val=""/>
      <w:lvlJc w:val="left"/>
      <w:pPr>
        <w:ind w:left="3228" w:hanging="360"/>
      </w:pPr>
      <w:rPr>
        <w:rFonts w:ascii="Symbol" w:hAnsi="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hint="default"/>
      </w:rPr>
    </w:lvl>
    <w:lvl w:ilvl="6">
      <w:start w:val="1"/>
      <w:numFmt w:val="bullet"/>
      <w:lvlText w:val=""/>
      <w:lvlJc w:val="left"/>
      <w:pPr>
        <w:ind w:left="5388" w:hanging="360"/>
      </w:pPr>
      <w:rPr>
        <w:rFonts w:ascii="Symbol" w:hAnsi="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hint="default"/>
      </w:rPr>
    </w:lvl>
  </w:abstractNum>
  <w:abstractNum w:abstractNumId="3" w15:restartNumberingAfterBreak="0">
    <w:nsid w:val="19E35823"/>
    <w:multiLevelType w:val="multilevel"/>
    <w:tmpl w:val="8DA43840"/>
    <w:lvl w:ilvl="0">
      <w:start w:val="1"/>
      <w:numFmt w:val="upperLetter"/>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3315085"/>
    <w:multiLevelType w:val="multilevel"/>
    <w:tmpl w:val="FB242DBC"/>
    <w:lvl w:ilvl="0">
      <w:start w:val="1"/>
      <w:numFmt w:val="decimal"/>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5" w15:restartNumberingAfterBreak="0">
    <w:nsid w:val="423CC1C9"/>
    <w:multiLevelType w:val="multilevel"/>
    <w:tmpl w:val="A754B2F4"/>
    <w:lvl w:ilvl="0">
      <w:start w:val="1"/>
      <w:numFmt w:val="upperLetter"/>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6B0A559"/>
    <w:multiLevelType w:val="multilevel"/>
    <w:tmpl w:val="DF5AF9D4"/>
    <w:lvl w:ilvl="0">
      <w:start w:val="1"/>
      <w:numFmt w:val="lowerLetter"/>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B075A43"/>
    <w:multiLevelType w:val="multilevel"/>
    <w:tmpl w:val="80246E0A"/>
    <w:lvl w:ilvl="0">
      <w:start w:val="1"/>
      <w:numFmt w:val="bullet"/>
      <w:lvlText w:val=""/>
      <w:lvlJc w:val="left"/>
      <w:pPr>
        <w:ind w:left="1428" w:hanging="360"/>
      </w:pPr>
      <w:rPr>
        <w:rFonts w:ascii="Symbol" w:hAnsi="Symbol"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8" w15:restartNumberingAfterBreak="0">
    <w:nsid w:val="64473DF9"/>
    <w:multiLevelType w:val="multilevel"/>
    <w:tmpl w:val="5CF0B5C6"/>
    <w:lvl w:ilvl="0">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7C1917F3"/>
    <w:multiLevelType w:val="multilevel"/>
    <w:tmpl w:val="D8302C54"/>
    <w:lvl w:ilvl="0">
      <w:numFmt w:val="bullet"/>
      <w:lvlText w:val="-"/>
      <w:lvlJc w:val="left"/>
      <w:pPr>
        <w:ind w:left="720" w:hanging="360"/>
      </w:pPr>
      <w:rPr>
        <w:rFonts w:ascii="Times New Roman" w:eastAsiaTheme="minorHAnsi" w:hAnsi="Times New Roman" w:cs="Times New Roman"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CFC19FA"/>
    <w:multiLevelType w:val="multilevel"/>
    <w:tmpl w:val="A60EEF80"/>
    <w:lvl w:ilvl="0">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FC86F91"/>
    <w:multiLevelType w:val="multilevel"/>
    <w:tmpl w:val="5642BBCA"/>
    <w:lvl w:ilvl="0">
      <w:numFmt w:val="bullet"/>
      <w:lvlText w:val="-"/>
      <w:lvlJc w:val="left"/>
      <w:pPr>
        <w:ind w:left="1440" w:hanging="360"/>
      </w:pPr>
      <w:rPr>
        <w:rFonts w:ascii="Times New Roman" w:eastAsiaTheme="minorHAnsi" w:hAnsi="Times New Roman" w:cs="Times New Roman" w:hint="default"/>
        <w:b/>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num w:numId="1" w16cid:durableId="1039209812">
    <w:abstractNumId w:val="0"/>
  </w:num>
  <w:num w:numId="2" w16cid:durableId="1687320927">
    <w:abstractNumId w:val="1"/>
  </w:num>
  <w:num w:numId="3" w16cid:durableId="474831362">
    <w:abstractNumId w:val="2"/>
  </w:num>
  <w:num w:numId="4" w16cid:durableId="973682798">
    <w:abstractNumId w:val="3"/>
  </w:num>
  <w:num w:numId="5" w16cid:durableId="59670022">
    <w:abstractNumId w:val="4"/>
  </w:num>
  <w:num w:numId="6" w16cid:durableId="1156189067">
    <w:abstractNumId w:val="5"/>
  </w:num>
  <w:num w:numId="7" w16cid:durableId="2063863476">
    <w:abstractNumId w:val="6"/>
  </w:num>
  <w:num w:numId="8" w16cid:durableId="629896856">
    <w:abstractNumId w:val="7"/>
  </w:num>
  <w:num w:numId="9" w16cid:durableId="547760346">
    <w:abstractNumId w:val="8"/>
  </w:num>
  <w:num w:numId="10" w16cid:durableId="704913871">
    <w:abstractNumId w:val="9"/>
  </w:num>
  <w:num w:numId="11" w16cid:durableId="101804227">
    <w:abstractNumId w:val="10"/>
  </w:num>
  <w:num w:numId="12" w16cid:durableId="204454849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201"/>
    <w:rsid w:val="001F1C52"/>
    <w:rsid w:val="006C6BF3"/>
    <w:rsid w:val="00747201"/>
    <w:rsid w:val="00FC772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46CFE"/>
  <w15:docId w15:val="{6D64841F-B388-46D2-AF81-7141130A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widowControl w:val="0"/>
      <w:pBdr>
        <w:top w:val="nil"/>
        <w:left w:val="nil"/>
        <w:bottom w:val="nil"/>
        <w:right w:val="nil"/>
        <w:between w:val="nil"/>
      </w:pBdr>
      <w:spacing w:after="200" w:line="276" w:lineRule="auto"/>
    </w:pPr>
    <w:rPr>
      <w:rFonts w:ascii="Times New Roman" w:eastAsia="Times New Roman" w:hAnsi="Times New Roman" w:cs="Times New Roman"/>
      <w:color w:val="595959"/>
      <w:sz w:val="20"/>
      <w:szCs w:val="20"/>
      <w:lang w:val="en-US" w:eastAsia="ru-RU"/>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Zaglavlje">
    <w:name w:val="header"/>
    <w:basedOn w:val="Normal"/>
    <w:link w:val="ZaglavljeChar"/>
    <w:uiPriority w:val="99"/>
    <w:unhideWhenUsed/>
    <w:pPr>
      <w:tabs>
        <w:tab w:val="center" w:pos="4536"/>
        <w:tab w:val="right" w:pos="9072"/>
      </w:tabs>
      <w:spacing w:after="0" w:line="240" w:lineRule="auto"/>
    </w:pPr>
  </w:style>
  <w:style w:type="character" w:customStyle="1" w:styleId="ZaglavljeChar">
    <w:name w:val="Zaglavlje Char"/>
    <w:basedOn w:val="Zadanifontodlomka"/>
    <w:link w:val="Zaglavlje"/>
    <w:uiPriority w:val="99"/>
  </w:style>
  <w:style w:type="paragraph" w:styleId="Podnoje">
    <w:name w:val="footer"/>
    <w:basedOn w:val="Normal"/>
    <w:uiPriority w:val="99"/>
    <w:unhideWhenUsed/>
    <w:pPr>
      <w:tabs>
        <w:tab w:val="center" w:pos="4536"/>
        <w:tab w:val="right" w:pos="9072"/>
      </w:tabs>
      <w:spacing w:after="0" w:line="240" w:lineRule="auto"/>
    </w:pPr>
  </w:style>
  <w:style w:type="character" w:customStyle="1" w:styleId="PodnojeChar">
    <w:name w:val="Podnožje Char"/>
    <w:basedOn w:val="Zadanifontodlomka"/>
    <w:uiPriority w:val="99"/>
  </w:style>
  <w:style w:type="character" w:styleId="Hiperveza">
    <w:name w:val="Hyperlink"/>
    <w:basedOn w:val="Zadanifontodlomka"/>
    <w:uiPriority w:val="99"/>
    <w:unhideWhenUsed/>
    <w:rPr>
      <w:color w:val="0563C1"/>
      <w:u w:val="single"/>
    </w:rPr>
  </w:style>
  <w:style w:type="character" w:customStyle="1" w:styleId="Tekstrezerviranogmjesta1">
    <w:name w:val="Tekst rezerviranog mjesta1"/>
    <w:basedOn w:val="Zadanifontodlomka"/>
    <w:uiPriority w:val="99"/>
    <w:semiHidden/>
    <w:rPr>
      <w:color w:val="808080"/>
    </w:rPr>
  </w:style>
  <w:style w:type="table" w:customStyle="1" w:styleId="NormalTable0">
    <w:name w:val="Normal Table0"/>
    <w:pPr>
      <w:widowControl w:val="0"/>
      <w:pBdr>
        <w:top w:val="nil"/>
        <w:left w:val="nil"/>
        <w:bottom w:val="nil"/>
        <w:right w:val="nil"/>
        <w:between w:val="nil"/>
      </w:pBdr>
      <w:spacing w:after="200" w:line="276" w:lineRule="auto"/>
    </w:pPr>
    <w:rPr>
      <w:rFonts w:ascii="Times New Roman" w:eastAsia="Times New Roman" w:hAnsi="Times New Roman" w:cs="Times New Roman"/>
      <w:color w:val="000000"/>
      <w:sz w:val="20"/>
      <w:szCs w:val="20"/>
      <w:lang w:val="en-US"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5.xm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chart" Target="charts/chart7.xml"/><Relationship Id="rId10" Type="http://schemas.openxmlformats.org/officeDocument/2006/relationships/chart" Target="charts/chart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s>
</file>

<file path=word/_rels/footer1.xml.rels><?xml version="1.0" encoding="UTF-8" standalone="yes"?>
<Relationships xmlns="http://schemas.openxmlformats.org/package/2006/relationships"><Relationship Id="rId1" Type="http://schemas.openxmlformats.org/officeDocument/2006/relationships/hyperlink" Target="https://www.avidan.hr/"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barChart>
        <c:barDir val="col"/>
        <c:grouping val="clustered"/>
        <c:varyColors val="0"/>
        <c:ser>
          <c:idx val="0"/>
          <c:order val="0"/>
          <c:tx>
            <c:strRef>
              <c:f>Лист1!$B$1</c:f>
              <c:strCache>
                <c:ptCount val="1"/>
                <c:pt idx="0">
                  <c:v>Ukupni prihodi</c:v>
                </c:pt>
              </c:strCache>
            </c:strRef>
          </c:tx>
          <c:spPr>
            <a:solidFill>
              <a:srgbClr val="A5A5A5"/>
            </a:solidFill>
            <a:ln>
              <a:noFill/>
              <a:round/>
            </a:ln>
            <a:effectLst/>
          </c:spPr>
          <c:invertIfNegative val="0"/>
          <c:dLbls>
            <c:spPr>
              <a:noFill/>
              <a:ln>
                <a:noFill/>
                <a:round/>
              </a:ln>
              <a:effectLst/>
            </c:spPr>
            <c:txPr>
              <a:bodyPr rot="-5400000"/>
              <a:lstStyle/>
              <a:p>
                <a:pPr>
                  <a:defRPr sz="800" b="0" baseline="0">
                    <a:solidFill>
                      <a:srgbClr val="808080"/>
                    </a:solidFill>
                    <a:latin typeface="Times New Roman"/>
                    <a:ea typeface="Times New Roman"/>
                    <a:cs typeface="Times New Roman"/>
                  </a:defRPr>
                </a:pPr>
                <a:endParaRPr lang="sr-Latn-R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rgbClr val="A6A6A6"/>
                      </a:solidFill>
                      <a:prstDash val="solid"/>
                      <a:round/>
                    </a:ln>
                  </c:spPr>
                </c15:leaderLines>
              </c:ext>
            </c:extLst>
          </c:dLbls>
          <c:cat>
            <c:strRef>
              <c:f>'Лист1'!$A$2:$A$3</c:f>
              <c:strCache>
                <c:ptCount val="2"/>
                <c:pt idx="0">
                  <c:v>2023</c:v>
                </c:pt>
                <c:pt idx="1">
                  <c:v>2024</c:v>
                </c:pt>
              </c:strCache>
            </c:strRef>
          </c:cat>
          <c:val>
            <c:numRef>
              <c:f>'Лист1'!$B$2:$B$3</c:f>
              <c:numCache>
                <c:formatCode>General</c:formatCode>
                <c:ptCount val="2"/>
                <c:pt idx="0">
                  <c:v>129874.81</c:v>
                </c:pt>
                <c:pt idx="1">
                  <c:v>182829.59</c:v>
                </c:pt>
              </c:numCache>
            </c:numRef>
          </c:val>
          <c:extLst>
            <c:ext xmlns:c16="http://schemas.microsoft.com/office/drawing/2014/chart" uri="{C3380CC4-5D6E-409C-BE32-E72D297353CC}">
              <c16:uniqueId val="{00000000-A4A8-4254-A8C1-E5F79B6018FA}"/>
            </c:ext>
          </c:extLst>
        </c:ser>
        <c:dLbls>
          <c:dLblPos val="outEnd"/>
          <c:showLegendKey val="0"/>
          <c:showVal val="1"/>
          <c:showCatName val="0"/>
          <c:showSerName val="0"/>
          <c:showPercent val="0"/>
          <c:showBubbleSize val="0"/>
        </c:dLbls>
        <c:gapWidth val="444"/>
        <c:overlap val="-90"/>
        <c:axId val="-1202065904"/>
        <c:axId val="-1203462352"/>
      </c:barChart>
      <c:catAx>
        <c:axId val="-1202065904"/>
        <c:scaling>
          <c:orientation val="minMax"/>
        </c:scaling>
        <c:delete val="0"/>
        <c:axPos val="b"/>
        <c:majorGridlines>
          <c:spPr>
            <a:ln w="9525">
              <a:solidFill>
                <a:srgbClr val="D9D9D9"/>
              </a:solidFill>
              <a:prstDash val="solid"/>
              <a:round/>
            </a:ln>
          </c:spPr>
        </c:majorGridlines>
        <c:numFmt formatCode="General" sourceLinked="1"/>
        <c:majorTickMark val="none"/>
        <c:minorTickMark val="none"/>
        <c:tickLblPos val="nextTo"/>
        <c:spPr>
          <a:ln w="9525">
            <a:solidFill>
              <a:srgbClr val="D9D9D9"/>
            </a:solidFill>
            <a:prstDash val="solid"/>
            <a:round/>
          </a:ln>
        </c:spPr>
        <c:txPr>
          <a:bodyPr/>
          <a:lstStyle/>
          <a:p>
            <a:pPr algn="ctr">
              <a:defRPr sz="800" baseline="0">
                <a:solidFill>
                  <a:srgbClr val="595959"/>
                </a:solidFill>
                <a:latin typeface="Times New Roman"/>
                <a:ea typeface="Times New Roman"/>
                <a:cs typeface="Times New Roman"/>
              </a:defRPr>
            </a:pPr>
            <a:endParaRPr lang="sr-Latn-RS"/>
          </a:p>
        </c:txPr>
        <c:crossAx val="-1203462352"/>
        <c:crosses val="autoZero"/>
        <c:auto val="1"/>
        <c:lblAlgn val="ctr"/>
        <c:lblOffset val="100"/>
        <c:noMultiLvlLbl val="0"/>
      </c:catAx>
      <c:valAx>
        <c:axId val="-1203462352"/>
        <c:scaling>
          <c:orientation val="minMax"/>
        </c:scaling>
        <c:delete val="1"/>
        <c:axPos val="l"/>
        <c:numFmt formatCode="General" sourceLinked="1"/>
        <c:majorTickMark val="none"/>
        <c:minorTickMark val="none"/>
        <c:tickLblPos val="nextTo"/>
        <c:crossAx val="-1202065904"/>
        <c:crosses val="autoZero"/>
        <c:crossBetween val="between"/>
      </c:valAx>
      <c:spPr>
        <a:noFill/>
        <a:ln>
          <a:noFill/>
          <a:round/>
        </a:ln>
        <a:effectLst/>
      </c:spPr>
    </c:plotArea>
    <c:legend>
      <c:legendPos val="t"/>
      <c:overlay val="0"/>
      <c:spPr>
        <a:noFill/>
        <a:ln>
          <a:noFill/>
          <a:round/>
        </a:ln>
        <a:effectLst/>
      </c:spPr>
      <c:txPr>
        <a:bodyPr/>
        <a:lstStyle/>
        <a:p>
          <a:pPr>
            <a:defRPr sz="900" b="0" baseline="0">
              <a:solidFill>
                <a:srgbClr val="595959"/>
              </a:solidFill>
              <a:latin typeface="Times New Roman"/>
              <a:ea typeface="Times New Roman"/>
              <a:cs typeface="Times New Roman"/>
            </a:defRPr>
          </a:pPr>
          <a:endParaRPr lang="sr-Latn-RS"/>
        </a:p>
      </c:txPr>
    </c:legend>
    <c:plotVisOnly val="1"/>
    <c:dispBlanksAs val="gap"/>
    <c:showDLblsOverMax val="1"/>
  </c:chart>
  <c:spPr>
    <a:solidFill>
      <a:srgbClr val="FFFFFF"/>
    </a:solidFill>
    <a:ln w="9525">
      <a:noFill/>
      <a:round/>
    </a:ln>
    <a:effectLst/>
  </c:spPr>
  <c:txPr>
    <a:bodyPr/>
    <a:lstStyle/>
    <a:p>
      <a:pPr>
        <a:defRPr>
          <a:latin typeface="Times New Roman" panose="02020603050405020304" pitchFamily="18" charset="0"/>
          <a:cs typeface="Times New Roman" panose="02020603050405020304" pitchFamily="18" charset="0"/>
        </a:defRPr>
      </a:pPr>
      <a:endParaRPr lang="en-H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barChart>
        <c:barDir val="col"/>
        <c:grouping val="clustered"/>
        <c:varyColors val="0"/>
        <c:ser>
          <c:idx val="0"/>
          <c:order val="0"/>
          <c:tx>
            <c:strRef>
              <c:f>Лист1!$B$1</c:f>
              <c:strCache>
                <c:ptCount val="1"/>
                <c:pt idx="0">
                  <c:v>Ukupni rashodi</c:v>
                </c:pt>
              </c:strCache>
            </c:strRef>
          </c:tx>
          <c:spPr>
            <a:solidFill>
              <a:srgbClr val="5F5F5F"/>
            </a:solidFill>
            <a:ln>
              <a:noFill/>
              <a:round/>
            </a:ln>
            <a:effectLst/>
          </c:spPr>
          <c:invertIfNegative val="0"/>
          <c:dLbls>
            <c:spPr>
              <a:noFill/>
              <a:ln>
                <a:noFill/>
                <a:round/>
              </a:ln>
              <a:effectLst/>
            </c:spPr>
            <c:txPr>
              <a:bodyPr rot="-5400000"/>
              <a:lstStyle/>
              <a:p>
                <a:pPr>
                  <a:defRPr sz="800" b="0" baseline="0">
                    <a:solidFill>
                      <a:srgbClr val="808080"/>
                    </a:solidFill>
                    <a:latin typeface="Times New Roman"/>
                    <a:ea typeface="Times New Roman"/>
                    <a:cs typeface="Times New Roman"/>
                  </a:defRPr>
                </a:pPr>
                <a:endParaRPr lang="sr-Latn-R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rgbClr val="A6A6A6"/>
                      </a:solidFill>
                      <a:prstDash val="solid"/>
                      <a:round/>
                    </a:ln>
                  </c:spPr>
                </c15:leaderLines>
              </c:ext>
            </c:extLst>
          </c:dLbls>
          <c:cat>
            <c:strRef>
              <c:f>'Лист1'!$A$2:$A$3</c:f>
              <c:strCache>
                <c:ptCount val="2"/>
                <c:pt idx="0">
                  <c:v>2023</c:v>
                </c:pt>
                <c:pt idx="1">
                  <c:v>2024</c:v>
                </c:pt>
              </c:strCache>
            </c:strRef>
          </c:cat>
          <c:val>
            <c:numRef>
              <c:f>'Лист1'!$B$2:$B$3</c:f>
              <c:numCache>
                <c:formatCode>General</c:formatCode>
                <c:ptCount val="2"/>
                <c:pt idx="0">
                  <c:v>128533.01</c:v>
                </c:pt>
                <c:pt idx="1">
                  <c:v>172619.02</c:v>
                </c:pt>
              </c:numCache>
            </c:numRef>
          </c:val>
          <c:extLst>
            <c:ext xmlns:c16="http://schemas.microsoft.com/office/drawing/2014/chart" uri="{C3380CC4-5D6E-409C-BE32-E72D297353CC}">
              <c16:uniqueId val="{00000000-C287-4E3A-BB60-C5E26F256111}"/>
            </c:ext>
          </c:extLst>
        </c:ser>
        <c:dLbls>
          <c:dLblPos val="outEnd"/>
          <c:showLegendKey val="0"/>
          <c:showVal val="1"/>
          <c:showCatName val="0"/>
          <c:showSerName val="0"/>
          <c:showPercent val="0"/>
          <c:showBubbleSize val="0"/>
        </c:dLbls>
        <c:gapWidth val="444"/>
        <c:overlap val="-90"/>
        <c:axId val="-793286704"/>
        <c:axId val="-793284656"/>
      </c:barChart>
      <c:catAx>
        <c:axId val="-793286704"/>
        <c:scaling>
          <c:orientation val="minMax"/>
        </c:scaling>
        <c:delete val="0"/>
        <c:axPos val="b"/>
        <c:majorGridlines>
          <c:spPr>
            <a:ln w="9525">
              <a:solidFill>
                <a:srgbClr val="D9D9D9"/>
              </a:solidFill>
              <a:prstDash val="solid"/>
              <a:round/>
            </a:ln>
          </c:spPr>
        </c:majorGridlines>
        <c:numFmt formatCode="General" sourceLinked="1"/>
        <c:majorTickMark val="none"/>
        <c:minorTickMark val="none"/>
        <c:tickLblPos val="nextTo"/>
        <c:spPr>
          <a:ln w="9525">
            <a:solidFill>
              <a:srgbClr val="D9D9D9"/>
            </a:solidFill>
            <a:prstDash val="solid"/>
            <a:round/>
          </a:ln>
        </c:spPr>
        <c:txPr>
          <a:bodyPr/>
          <a:lstStyle/>
          <a:p>
            <a:pPr algn="ctr">
              <a:defRPr sz="800" baseline="0">
                <a:solidFill>
                  <a:srgbClr val="595959"/>
                </a:solidFill>
                <a:latin typeface="Times New Roman"/>
                <a:ea typeface="Times New Roman"/>
                <a:cs typeface="Times New Roman"/>
              </a:defRPr>
            </a:pPr>
            <a:endParaRPr lang="sr-Latn-RS"/>
          </a:p>
        </c:txPr>
        <c:crossAx val="-793284656"/>
        <c:crosses val="autoZero"/>
        <c:auto val="1"/>
        <c:lblAlgn val="ctr"/>
        <c:lblOffset val="100"/>
        <c:noMultiLvlLbl val="0"/>
      </c:catAx>
      <c:valAx>
        <c:axId val="-793284656"/>
        <c:scaling>
          <c:orientation val="minMax"/>
        </c:scaling>
        <c:delete val="1"/>
        <c:axPos val="l"/>
        <c:numFmt formatCode="General" sourceLinked="1"/>
        <c:majorTickMark val="none"/>
        <c:minorTickMark val="none"/>
        <c:tickLblPos val="nextTo"/>
        <c:crossAx val="-793286704"/>
        <c:crosses val="autoZero"/>
        <c:crossBetween val="between"/>
      </c:valAx>
      <c:spPr>
        <a:noFill/>
        <a:ln>
          <a:noFill/>
          <a:round/>
        </a:ln>
        <a:effectLst/>
      </c:spPr>
    </c:plotArea>
    <c:legend>
      <c:legendPos val="t"/>
      <c:overlay val="0"/>
      <c:spPr>
        <a:noFill/>
        <a:ln>
          <a:noFill/>
          <a:round/>
        </a:ln>
        <a:effectLst/>
      </c:spPr>
      <c:txPr>
        <a:bodyPr/>
        <a:lstStyle/>
        <a:p>
          <a:pPr>
            <a:defRPr sz="900" b="0" baseline="0">
              <a:solidFill>
                <a:srgbClr val="595959"/>
              </a:solidFill>
              <a:latin typeface="Times New Roman"/>
              <a:ea typeface="Times New Roman"/>
              <a:cs typeface="Times New Roman"/>
            </a:defRPr>
          </a:pPr>
          <a:endParaRPr lang="sr-Latn-RS"/>
        </a:p>
      </c:txPr>
    </c:legend>
    <c:plotVisOnly val="1"/>
    <c:dispBlanksAs val="gap"/>
    <c:showDLblsOverMax val="1"/>
  </c:chart>
  <c:spPr>
    <a:solidFill>
      <a:srgbClr val="FFFFFF"/>
    </a:solidFill>
    <a:ln w="9525">
      <a:noFill/>
      <a:round/>
    </a:ln>
    <a:effectLst/>
  </c:spPr>
  <c:txPr>
    <a:bodyPr/>
    <a:lstStyle/>
    <a:p>
      <a:pPr>
        <a:defRPr>
          <a:latin typeface="Times New Roman" panose="02020603050405020304" pitchFamily="18" charset="0"/>
          <a:cs typeface="Times New Roman" panose="02020603050405020304" pitchFamily="18" charset="0"/>
        </a:defRPr>
      </a:pPr>
      <a:endParaRPr lang="en-H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barChart>
        <c:barDir val="col"/>
        <c:grouping val="clustered"/>
        <c:varyColors val="0"/>
        <c:ser>
          <c:idx val="0"/>
          <c:order val="0"/>
          <c:tx>
            <c:strRef>
              <c:f>Лист1!$B$1</c:f>
              <c:strCache>
                <c:ptCount val="1"/>
                <c:pt idx="0">
                  <c:v>2023</c:v>
                </c:pt>
              </c:strCache>
            </c:strRef>
          </c:tx>
          <c:spPr>
            <a:solidFill>
              <a:srgbClr val="5F5F5F"/>
            </a:solidFill>
            <a:ln>
              <a:noFill/>
              <a:round/>
            </a:ln>
            <a:effectLst/>
          </c:spPr>
          <c:invertIfNegative val="0"/>
          <c:dLbls>
            <c:spPr>
              <a:noFill/>
              <a:ln>
                <a:noFill/>
                <a:round/>
              </a:ln>
              <a:effectLst/>
            </c:spPr>
            <c:txPr>
              <a:bodyPr rot="-5400000"/>
              <a:lstStyle/>
              <a:p>
                <a:pPr>
                  <a:defRPr sz="800" b="0" baseline="0">
                    <a:solidFill>
                      <a:srgbClr val="808080"/>
                    </a:solidFill>
                    <a:latin typeface="Times New Roman"/>
                    <a:ea typeface="Times New Roman"/>
                    <a:cs typeface="Times New Roman"/>
                  </a:defRPr>
                </a:pPr>
                <a:endParaRPr lang="sr-Latn-R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rgbClr val="A6A6A6"/>
                      </a:solidFill>
                      <a:prstDash val="solid"/>
                      <a:round/>
                    </a:ln>
                  </c:spPr>
                </c15:leaderLines>
              </c:ext>
            </c:extLst>
          </c:dLbls>
          <c:cat>
            <c:strRef>
              <c:f>'Лист1'!$A$2:$A$4</c:f>
              <c:strCache>
                <c:ptCount val="3"/>
                <c:pt idx="0">
                  <c:v>Ukupni prihodi</c:v>
                </c:pt>
                <c:pt idx="1">
                  <c:v>Ukupni rashodi</c:v>
                </c:pt>
                <c:pt idx="2">
                  <c:v>Dobit / gubitak</c:v>
                </c:pt>
              </c:strCache>
            </c:strRef>
          </c:cat>
          <c:val>
            <c:numRef>
              <c:f>'Лист1'!$B$2:$B$4</c:f>
              <c:numCache>
                <c:formatCode>General</c:formatCode>
                <c:ptCount val="3"/>
                <c:pt idx="0">
                  <c:v>129874.81</c:v>
                </c:pt>
                <c:pt idx="1">
                  <c:v>128533.01</c:v>
                </c:pt>
                <c:pt idx="2">
                  <c:v>1341.8</c:v>
                </c:pt>
              </c:numCache>
            </c:numRef>
          </c:val>
          <c:extLst>
            <c:ext xmlns:c16="http://schemas.microsoft.com/office/drawing/2014/chart" uri="{C3380CC4-5D6E-409C-BE32-E72D297353CC}">
              <c16:uniqueId val="{00000000-EF7C-497F-B349-822CD5E2628C}"/>
            </c:ext>
          </c:extLst>
        </c:ser>
        <c:ser>
          <c:idx val="1"/>
          <c:order val="1"/>
          <c:tx>
            <c:strRef>
              <c:f>Лист1!$C$1</c:f>
              <c:strCache>
                <c:ptCount val="1"/>
                <c:pt idx="0">
                  <c:v>2024</c:v>
                </c:pt>
              </c:strCache>
            </c:strRef>
          </c:tx>
          <c:spPr>
            <a:solidFill>
              <a:srgbClr val="B3B3B3"/>
            </a:solidFill>
            <a:ln>
              <a:noFill/>
              <a:round/>
            </a:ln>
            <a:effectLst/>
          </c:spPr>
          <c:invertIfNegative val="0"/>
          <c:dLbls>
            <c:spPr>
              <a:noFill/>
              <a:ln>
                <a:noFill/>
                <a:round/>
              </a:ln>
              <a:effectLst/>
            </c:spPr>
            <c:txPr>
              <a:bodyPr rot="-5400000"/>
              <a:lstStyle/>
              <a:p>
                <a:pPr>
                  <a:defRPr sz="800" b="0" baseline="0">
                    <a:solidFill>
                      <a:srgbClr val="808080"/>
                    </a:solidFill>
                    <a:latin typeface="Times New Roman"/>
                    <a:ea typeface="Times New Roman"/>
                    <a:cs typeface="Times New Roman"/>
                  </a:defRPr>
                </a:pPr>
                <a:endParaRPr lang="sr-Latn-R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rgbClr val="A6A6A6"/>
                      </a:solidFill>
                      <a:prstDash val="solid"/>
                      <a:round/>
                    </a:ln>
                  </c:spPr>
                </c15:leaderLines>
              </c:ext>
            </c:extLst>
          </c:dLbls>
          <c:cat>
            <c:strRef>
              <c:f>'Лист1'!$A$2:$A$4</c:f>
              <c:strCache>
                <c:ptCount val="3"/>
                <c:pt idx="0">
                  <c:v>Ukupni prihodi</c:v>
                </c:pt>
                <c:pt idx="1">
                  <c:v>Ukupni rashodi</c:v>
                </c:pt>
                <c:pt idx="2">
                  <c:v>Dobit / gubitak</c:v>
                </c:pt>
              </c:strCache>
            </c:strRef>
          </c:cat>
          <c:val>
            <c:numRef>
              <c:f>'Лист1'!$C$2:$C$4</c:f>
              <c:numCache>
                <c:formatCode>General</c:formatCode>
                <c:ptCount val="3"/>
                <c:pt idx="0">
                  <c:v>182829.59</c:v>
                </c:pt>
                <c:pt idx="1">
                  <c:v>172619.02</c:v>
                </c:pt>
                <c:pt idx="2">
                  <c:v>10210.57</c:v>
                </c:pt>
              </c:numCache>
            </c:numRef>
          </c:val>
          <c:extLst>
            <c:ext xmlns:c16="http://schemas.microsoft.com/office/drawing/2014/chart" uri="{C3380CC4-5D6E-409C-BE32-E72D297353CC}">
              <c16:uniqueId val="{00000001-EF7C-497F-B349-822CD5E2628C}"/>
            </c:ext>
          </c:extLst>
        </c:ser>
        <c:dLbls>
          <c:dLblPos val="outEnd"/>
          <c:showLegendKey val="0"/>
          <c:showVal val="1"/>
          <c:showCatName val="0"/>
          <c:showSerName val="0"/>
          <c:showPercent val="0"/>
          <c:showBubbleSize val="0"/>
        </c:dLbls>
        <c:gapWidth val="444"/>
        <c:overlap val="-90"/>
        <c:axId val="-793376928"/>
        <c:axId val="-793374608"/>
      </c:barChart>
      <c:catAx>
        <c:axId val="-793376928"/>
        <c:scaling>
          <c:orientation val="minMax"/>
        </c:scaling>
        <c:delete val="0"/>
        <c:axPos val="b"/>
        <c:majorGridlines>
          <c:spPr>
            <a:ln w="9525">
              <a:solidFill>
                <a:srgbClr val="D9D9D9"/>
              </a:solidFill>
              <a:prstDash val="solid"/>
              <a:round/>
            </a:ln>
          </c:spPr>
        </c:majorGridlines>
        <c:numFmt formatCode="General" sourceLinked="1"/>
        <c:majorTickMark val="none"/>
        <c:minorTickMark val="none"/>
        <c:tickLblPos val="nextTo"/>
        <c:spPr>
          <a:ln w="9525">
            <a:solidFill>
              <a:srgbClr val="D9D9D9"/>
            </a:solidFill>
            <a:prstDash val="solid"/>
            <a:round/>
          </a:ln>
        </c:spPr>
        <c:txPr>
          <a:bodyPr/>
          <a:lstStyle/>
          <a:p>
            <a:pPr algn="ctr">
              <a:defRPr sz="800" baseline="0">
                <a:solidFill>
                  <a:srgbClr val="595959"/>
                </a:solidFill>
                <a:latin typeface="Times New Roman"/>
                <a:ea typeface="Times New Roman"/>
                <a:cs typeface="Times New Roman"/>
              </a:defRPr>
            </a:pPr>
            <a:endParaRPr lang="sr-Latn-RS"/>
          </a:p>
        </c:txPr>
        <c:crossAx val="-793374608"/>
        <c:crosses val="autoZero"/>
        <c:auto val="1"/>
        <c:lblAlgn val="ctr"/>
        <c:lblOffset val="100"/>
        <c:noMultiLvlLbl val="0"/>
      </c:catAx>
      <c:valAx>
        <c:axId val="-793374608"/>
        <c:scaling>
          <c:orientation val="minMax"/>
        </c:scaling>
        <c:delete val="1"/>
        <c:axPos val="l"/>
        <c:numFmt formatCode="General" sourceLinked="1"/>
        <c:majorTickMark val="none"/>
        <c:minorTickMark val="none"/>
        <c:tickLblPos val="nextTo"/>
        <c:crossAx val="-793376928"/>
        <c:crosses val="autoZero"/>
        <c:crossBetween val="between"/>
      </c:valAx>
      <c:spPr>
        <a:noFill/>
        <a:ln>
          <a:noFill/>
          <a:round/>
        </a:ln>
        <a:effectLst/>
      </c:spPr>
    </c:plotArea>
    <c:legend>
      <c:legendPos val="t"/>
      <c:overlay val="0"/>
      <c:spPr>
        <a:noFill/>
        <a:ln>
          <a:noFill/>
          <a:round/>
        </a:ln>
        <a:effectLst/>
      </c:spPr>
      <c:txPr>
        <a:bodyPr/>
        <a:lstStyle/>
        <a:p>
          <a:pPr>
            <a:defRPr sz="900" b="0" baseline="0">
              <a:solidFill>
                <a:srgbClr val="595959"/>
              </a:solidFill>
              <a:latin typeface="Times New Roman"/>
              <a:ea typeface="Times New Roman"/>
              <a:cs typeface="Times New Roman"/>
            </a:defRPr>
          </a:pPr>
          <a:endParaRPr lang="sr-Latn-RS"/>
        </a:p>
      </c:txPr>
    </c:legend>
    <c:plotVisOnly val="1"/>
    <c:dispBlanksAs val="gap"/>
    <c:showDLblsOverMax val="1"/>
  </c:chart>
  <c:spPr>
    <a:solidFill>
      <a:srgbClr val="FFFFFF"/>
    </a:solidFill>
    <a:ln w="9525">
      <a:noFill/>
      <a:round/>
    </a:ln>
    <a:effectLst/>
  </c:spPr>
  <c:txPr>
    <a:bodyPr/>
    <a:lstStyle/>
    <a:p>
      <a:pPr>
        <a:defRPr>
          <a:latin typeface="Times New Roman" panose="02020603050405020304" pitchFamily="18" charset="0"/>
          <a:cs typeface="Times New Roman" panose="02020603050405020304" pitchFamily="18" charset="0"/>
        </a:defRPr>
      </a:pPr>
      <a:endParaRPr lang="en-H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manualLayout>
          <c:layoutTarget val="inner"/>
          <c:xMode val="edge"/>
          <c:yMode val="edge"/>
          <c:x val="0.15303909379748601"/>
          <c:y val="0.26825627174510203"/>
          <c:w val="0.71190772206105801"/>
          <c:h val="0.615129326130745"/>
        </c:manualLayout>
      </c:layout>
      <c:barChart>
        <c:barDir val="bar"/>
        <c:grouping val="clustered"/>
        <c:varyColors val="0"/>
        <c:ser>
          <c:idx val="0"/>
          <c:order val="0"/>
          <c:tx>
            <c:strRef>
              <c:f>Лист1!$B$1</c:f>
              <c:strCache>
                <c:ptCount val="1"/>
                <c:pt idx="0">
                  <c:v>Zemljište</c:v>
                </c:pt>
              </c:strCache>
            </c:strRef>
          </c:tx>
          <c:spPr>
            <a:gradFill>
              <a:gsLst>
                <a:gs pos="0">
                  <a:schemeClr val="dk1">
                    <a:tint val="88500"/>
                  </a:schemeClr>
                </a:gs>
                <a:gs pos="75000">
                  <a:schemeClr val="dk1">
                    <a:tint val="88500"/>
                    <a:lumMod val="60000"/>
                    <a:lumOff val="40000"/>
                  </a:schemeClr>
                </a:gs>
                <a:gs pos="51000">
                  <a:schemeClr val="dk1">
                    <a:tint val="88500"/>
                    <a:alpha val="75000"/>
                  </a:schemeClr>
                </a:gs>
                <a:gs pos="100000">
                  <a:schemeClr val="dk1">
                    <a:tint val="88500"/>
                    <a:lumMod val="20000"/>
                    <a:lumOff val="80000"/>
                    <a:alpha val="15000"/>
                  </a:schemeClr>
                </a:gs>
              </a:gsLst>
              <a:lin ang="10800000" scaled="1"/>
            </a:gradFill>
            <a:ln>
              <a:noFill/>
              <a:round/>
            </a:ln>
            <a:effectLst/>
          </c:spPr>
          <c:invertIfNegative val="0"/>
          <c:cat>
            <c:strRef>
              <c:f>'Лист1'!$A$2:$A$3</c:f>
              <c:strCache>
                <c:ptCount val="2"/>
                <c:pt idx="0">
                  <c:v>2024</c:v>
                </c:pt>
                <c:pt idx="1">
                  <c:v>2023</c:v>
                </c:pt>
              </c:strCache>
            </c:strRef>
          </c:cat>
          <c:val>
            <c:numRef>
              <c:f>'Лист1'!$B$2:$B$3</c:f>
              <c:numCache>
                <c:formatCode>General</c:formatCode>
                <c:ptCount val="2"/>
                <c:pt idx="0">
                  <c:v>0</c:v>
                </c:pt>
                <c:pt idx="1">
                  <c:v>0</c:v>
                </c:pt>
              </c:numCache>
            </c:numRef>
          </c:val>
          <c:extLst>
            <c:ext xmlns:c16="http://schemas.microsoft.com/office/drawing/2014/chart" uri="{C3380CC4-5D6E-409C-BE32-E72D297353CC}">
              <c16:uniqueId val="{00000000-67FB-4552-8BAB-7B0FAF591BFA}"/>
            </c:ext>
          </c:extLst>
        </c:ser>
        <c:ser>
          <c:idx val="1"/>
          <c:order val="1"/>
          <c:tx>
            <c:strRef>
              <c:f>Лист1!$C$1</c:f>
              <c:strCache>
                <c:ptCount val="1"/>
                <c:pt idx="0">
                  <c:v>Građevinski objekti</c:v>
                </c:pt>
              </c:strCache>
            </c:strRef>
          </c:tx>
          <c:spPr>
            <a:gradFill>
              <a:gsLst>
                <a:gs pos="0">
                  <a:schemeClr val="dk1">
                    <a:tint val="55000"/>
                  </a:schemeClr>
                </a:gs>
                <a:gs pos="75000">
                  <a:schemeClr val="dk1">
                    <a:tint val="55000"/>
                    <a:lumMod val="60000"/>
                    <a:lumOff val="40000"/>
                  </a:schemeClr>
                </a:gs>
                <a:gs pos="51000">
                  <a:schemeClr val="dk1">
                    <a:tint val="55000"/>
                    <a:alpha val="75000"/>
                  </a:schemeClr>
                </a:gs>
                <a:gs pos="100000">
                  <a:schemeClr val="dk1">
                    <a:tint val="55000"/>
                    <a:lumMod val="20000"/>
                    <a:lumOff val="80000"/>
                    <a:alpha val="15000"/>
                  </a:schemeClr>
                </a:gs>
              </a:gsLst>
              <a:lin ang="10800000" scaled="1"/>
            </a:gradFill>
            <a:ln>
              <a:noFill/>
              <a:round/>
            </a:ln>
            <a:effectLst/>
          </c:spPr>
          <c:invertIfNegative val="0"/>
          <c:cat>
            <c:strRef>
              <c:f>'Лист1'!$A$2:$A$3</c:f>
              <c:strCache>
                <c:ptCount val="2"/>
                <c:pt idx="0">
                  <c:v>2024</c:v>
                </c:pt>
                <c:pt idx="1">
                  <c:v>2023</c:v>
                </c:pt>
              </c:strCache>
            </c:strRef>
          </c:cat>
          <c:val>
            <c:numRef>
              <c:f>'Лист1'!$C$2:$C$3</c:f>
              <c:numCache>
                <c:formatCode>General</c:formatCode>
                <c:ptCount val="2"/>
                <c:pt idx="0">
                  <c:v>0</c:v>
                </c:pt>
                <c:pt idx="1">
                  <c:v>0</c:v>
                </c:pt>
              </c:numCache>
            </c:numRef>
          </c:val>
          <c:extLst>
            <c:ext xmlns:c16="http://schemas.microsoft.com/office/drawing/2014/chart" uri="{C3380CC4-5D6E-409C-BE32-E72D297353CC}">
              <c16:uniqueId val="{00000001-67FB-4552-8BAB-7B0FAF591BFA}"/>
            </c:ext>
          </c:extLst>
        </c:ser>
        <c:ser>
          <c:idx val="2"/>
          <c:order val="2"/>
          <c:tx>
            <c:strRef>
              <c:f>Лист1!$D$1</c:f>
              <c:strCache>
                <c:ptCount val="1"/>
                <c:pt idx="0">
                  <c:v>Postrojenja i oprema</c:v>
                </c:pt>
              </c:strCache>
            </c:strRef>
          </c:tx>
          <c:spPr>
            <a:gradFill>
              <a:gsLst>
                <a:gs pos="0">
                  <a:schemeClr val="dk1">
                    <a:tint val="75000"/>
                  </a:schemeClr>
                </a:gs>
                <a:gs pos="75000">
                  <a:schemeClr val="dk1">
                    <a:tint val="75000"/>
                    <a:lumMod val="60000"/>
                    <a:lumOff val="40000"/>
                  </a:schemeClr>
                </a:gs>
                <a:gs pos="51000">
                  <a:schemeClr val="dk1">
                    <a:tint val="75000"/>
                    <a:alpha val="75000"/>
                  </a:schemeClr>
                </a:gs>
                <a:gs pos="100000">
                  <a:schemeClr val="dk1">
                    <a:tint val="75000"/>
                    <a:lumMod val="20000"/>
                    <a:lumOff val="80000"/>
                    <a:alpha val="15000"/>
                  </a:schemeClr>
                </a:gs>
              </a:gsLst>
              <a:lin ang="10800000" scaled="1"/>
            </a:gradFill>
            <a:ln>
              <a:noFill/>
              <a:round/>
            </a:ln>
            <a:effectLst/>
          </c:spPr>
          <c:invertIfNegative val="0"/>
          <c:cat>
            <c:strRef>
              <c:f>'Лист1'!$A$2:$A$3</c:f>
              <c:strCache>
                <c:ptCount val="2"/>
                <c:pt idx="0">
                  <c:v>2024</c:v>
                </c:pt>
                <c:pt idx="1">
                  <c:v>2023</c:v>
                </c:pt>
              </c:strCache>
            </c:strRef>
          </c:cat>
          <c:val>
            <c:numRef>
              <c:f>'Лист1'!$D$2:$D$3</c:f>
              <c:numCache>
                <c:formatCode>General</c:formatCode>
                <c:ptCount val="2"/>
                <c:pt idx="0">
                  <c:v>2537.83</c:v>
                </c:pt>
                <c:pt idx="1">
                  <c:v>5259.65</c:v>
                </c:pt>
              </c:numCache>
            </c:numRef>
          </c:val>
          <c:extLst>
            <c:ext xmlns:c16="http://schemas.microsoft.com/office/drawing/2014/chart" uri="{C3380CC4-5D6E-409C-BE32-E72D297353CC}">
              <c16:uniqueId val="{00000002-67FB-4552-8BAB-7B0FAF591BFA}"/>
            </c:ext>
          </c:extLst>
        </c:ser>
        <c:ser>
          <c:idx val="3"/>
          <c:order val="3"/>
          <c:tx>
            <c:strRef>
              <c:f>Лист1!$E$1</c:f>
              <c:strCache>
                <c:ptCount val="1"/>
                <c:pt idx="0">
                  <c:v>Alati, pogonski inventar i transportna imovina</c:v>
                </c:pt>
              </c:strCache>
            </c:strRef>
          </c:tx>
          <c:spPr>
            <a:gradFill>
              <a:gsLst>
                <a:gs pos="0">
                  <a:schemeClr val="dk1">
                    <a:tint val="98500"/>
                  </a:schemeClr>
                </a:gs>
                <a:gs pos="75000">
                  <a:schemeClr val="dk1">
                    <a:tint val="98500"/>
                    <a:lumMod val="60000"/>
                    <a:lumOff val="40000"/>
                  </a:schemeClr>
                </a:gs>
                <a:gs pos="51000">
                  <a:schemeClr val="dk1">
                    <a:tint val="98500"/>
                    <a:alpha val="75000"/>
                  </a:schemeClr>
                </a:gs>
                <a:gs pos="100000">
                  <a:schemeClr val="dk1">
                    <a:tint val="98500"/>
                    <a:lumMod val="20000"/>
                    <a:lumOff val="80000"/>
                    <a:alpha val="15000"/>
                  </a:schemeClr>
                </a:gs>
              </a:gsLst>
              <a:lin ang="10800000" scaled="1"/>
            </a:gradFill>
            <a:ln>
              <a:noFill/>
              <a:round/>
            </a:ln>
            <a:effectLst/>
          </c:spPr>
          <c:invertIfNegative val="0"/>
          <c:cat>
            <c:strRef>
              <c:f>'Лист1'!$A$2:$A$3</c:f>
              <c:strCache>
                <c:ptCount val="2"/>
                <c:pt idx="0">
                  <c:v>2024</c:v>
                </c:pt>
                <c:pt idx="1">
                  <c:v>2023</c:v>
                </c:pt>
              </c:strCache>
            </c:strRef>
          </c:cat>
          <c:val>
            <c:numRef>
              <c:f>'Лист1'!$E$2:$E$3</c:f>
              <c:numCache>
                <c:formatCode>General</c:formatCode>
                <c:ptCount val="2"/>
                <c:pt idx="0">
                  <c:v>0</c:v>
                </c:pt>
                <c:pt idx="1">
                  <c:v>0</c:v>
                </c:pt>
              </c:numCache>
            </c:numRef>
          </c:val>
          <c:extLst>
            <c:ext xmlns:c16="http://schemas.microsoft.com/office/drawing/2014/chart" uri="{C3380CC4-5D6E-409C-BE32-E72D297353CC}">
              <c16:uniqueId val="{00000003-67FB-4552-8BAB-7B0FAF591BFA}"/>
            </c:ext>
          </c:extLst>
        </c:ser>
        <c:ser>
          <c:idx val="4"/>
          <c:order val="4"/>
          <c:tx>
            <c:strRef>
              <c:f>Лист1!$F$1</c:f>
              <c:strCache>
                <c:ptCount val="1"/>
                <c:pt idx="0">
                  <c:v>Biološka imovina</c:v>
                </c:pt>
              </c:strCache>
            </c:strRef>
          </c:tx>
          <c:spPr>
            <a:gradFill>
              <a:gsLst>
                <a:gs pos="0">
                  <a:schemeClr val="dk1">
                    <a:tint val="30000"/>
                  </a:schemeClr>
                </a:gs>
                <a:gs pos="75000">
                  <a:schemeClr val="dk1">
                    <a:tint val="30000"/>
                    <a:lumMod val="60000"/>
                    <a:lumOff val="40000"/>
                  </a:schemeClr>
                </a:gs>
                <a:gs pos="51000">
                  <a:schemeClr val="dk1">
                    <a:tint val="30000"/>
                    <a:alpha val="75000"/>
                  </a:schemeClr>
                </a:gs>
                <a:gs pos="100000">
                  <a:schemeClr val="dk1">
                    <a:tint val="30000"/>
                    <a:lumMod val="20000"/>
                    <a:lumOff val="80000"/>
                    <a:alpha val="15000"/>
                  </a:schemeClr>
                </a:gs>
              </a:gsLst>
              <a:lin ang="10800000" scaled="1"/>
            </a:gradFill>
            <a:ln>
              <a:noFill/>
              <a:round/>
            </a:ln>
            <a:effectLst/>
          </c:spPr>
          <c:invertIfNegative val="0"/>
          <c:cat>
            <c:strRef>
              <c:f>'Лист1'!$A$2:$A$3</c:f>
              <c:strCache>
                <c:ptCount val="2"/>
                <c:pt idx="0">
                  <c:v>2024</c:v>
                </c:pt>
                <c:pt idx="1">
                  <c:v>2023</c:v>
                </c:pt>
              </c:strCache>
            </c:strRef>
          </c:cat>
          <c:val>
            <c:numRef>
              <c:f>'Лист1'!$F$2:$F$3</c:f>
              <c:numCache>
                <c:formatCode>General</c:formatCode>
                <c:ptCount val="2"/>
                <c:pt idx="0">
                  <c:v>0</c:v>
                </c:pt>
                <c:pt idx="1">
                  <c:v>0</c:v>
                </c:pt>
              </c:numCache>
            </c:numRef>
          </c:val>
          <c:extLst>
            <c:ext xmlns:c16="http://schemas.microsoft.com/office/drawing/2014/chart" uri="{C3380CC4-5D6E-409C-BE32-E72D297353CC}">
              <c16:uniqueId val="{00000004-67FB-4552-8BAB-7B0FAF591BFA}"/>
            </c:ext>
          </c:extLst>
        </c:ser>
        <c:ser>
          <c:idx val="5"/>
          <c:order val="5"/>
          <c:tx>
            <c:strRef>
              <c:f>Лист1!$G$1</c:f>
              <c:strCache>
                <c:ptCount val="1"/>
                <c:pt idx="0">
                  <c:v>Predujmovi za materijalnu imovinu</c:v>
                </c:pt>
              </c:strCache>
            </c:strRef>
          </c:tx>
          <c:spPr>
            <a:gradFill>
              <a:gsLst>
                <a:gs pos="0">
                  <a:schemeClr val="dk1">
                    <a:tint val="60000"/>
                  </a:schemeClr>
                </a:gs>
                <a:gs pos="75000">
                  <a:schemeClr val="dk1">
                    <a:tint val="60000"/>
                    <a:lumMod val="60000"/>
                    <a:lumOff val="40000"/>
                  </a:schemeClr>
                </a:gs>
                <a:gs pos="51000">
                  <a:schemeClr val="dk1">
                    <a:tint val="60000"/>
                    <a:alpha val="75000"/>
                  </a:schemeClr>
                </a:gs>
                <a:gs pos="100000">
                  <a:schemeClr val="dk1">
                    <a:tint val="60000"/>
                    <a:lumMod val="20000"/>
                    <a:lumOff val="80000"/>
                    <a:alpha val="15000"/>
                  </a:schemeClr>
                </a:gs>
              </a:gsLst>
              <a:lin ang="10800000" scaled="1"/>
            </a:gradFill>
            <a:ln>
              <a:noFill/>
              <a:round/>
            </a:ln>
            <a:effectLst/>
          </c:spPr>
          <c:invertIfNegative val="0"/>
          <c:cat>
            <c:strRef>
              <c:f>'Лист1'!$A$2:$A$3</c:f>
              <c:strCache>
                <c:ptCount val="2"/>
                <c:pt idx="0">
                  <c:v>2024</c:v>
                </c:pt>
                <c:pt idx="1">
                  <c:v>2023</c:v>
                </c:pt>
              </c:strCache>
            </c:strRef>
          </c:cat>
          <c:val>
            <c:numRef>
              <c:f>'Лист1'!$G$2:$G$3</c:f>
              <c:numCache>
                <c:formatCode>General</c:formatCode>
                <c:ptCount val="2"/>
                <c:pt idx="0">
                  <c:v>0</c:v>
                </c:pt>
                <c:pt idx="1">
                  <c:v>0</c:v>
                </c:pt>
              </c:numCache>
            </c:numRef>
          </c:val>
          <c:extLst>
            <c:ext xmlns:c16="http://schemas.microsoft.com/office/drawing/2014/chart" uri="{C3380CC4-5D6E-409C-BE32-E72D297353CC}">
              <c16:uniqueId val="{00000005-67FB-4552-8BAB-7B0FAF591BFA}"/>
            </c:ext>
          </c:extLst>
        </c:ser>
        <c:ser>
          <c:idx val="6"/>
          <c:order val="6"/>
          <c:tx>
            <c:strRef>
              <c:f>Лист1!$H$1</c:f>
              <c:strCache>
                <c:ptCount val="1"/>
                <c:pt idx="0">
                  <c:v>Materijalna imovina u pripremi</c:v>
                </c:pt>
              </c:strCache>
            </c:strRef>
          </c:tx>
          <c:spPr>
            <a:gradFill>
              <a:gsLst>
                <a:gs pos="0">
                  <a:schemeClr val="dk1">
                    <a:tint val="80000"/>
                  </a:schemeClr>
                </a:gs>
                <a:gs pos="75000">
                  <a:schemeClr val="dk1">
                    <a:tint val="80000"/>
                    <a:lumMod val="60000"/>
                    <a:lumOff val="40000"/>
                  </a:schemeClr>
                </a:gs>
                <a:gs pos="51000">
                  <a:schemeClr val="dk1">
                    <a:tint val="80000"/>
                    <a:alpha val="75000"/>
                  </a:schemeClr>
                </a:gs>
                <a:gs pos="100000">
                  <a:schemeClr val="dk1">
                    <a:tint val="80000"/>
                    <a:lumMod val="20000"/>
                    <a:lumOff val="80000"/>
                    <a:alpha val="15000"/>
                  </a:schemeClr>
                </a:gs>
              </a:gsLst>
              <a:lin ang="10800000" scaled="1"/>
            </a:gradFill>
            <a:ln>
              <a:noFill/>
              <a:round/>
            </a:ln>
            <a:effectLst/>
          </c:spPr>
          <c:invertIfNegative val="0"/>
          <c:cat>
            <c:strRef>
              <c:f>'Лист1'!$A$2:$A$3</c:f>
              <c:strCache>
                <c:ptCount val="2"/>
                <c:pt idx="0">
                  <c:v>2024</c:v>
                </c:pt>
                <c:pt idx="1">
                  <c:v>2023</c:v>
                </c:pt>
              </c:strCache>
            </c:strRef>
          </c:cat>
          <c:val>
            <c:numRef>
              <c:f>'Лист1'!$H$2:$H$3</c:f>
              <c:numCache>
                <c:formatCode>General</c:formatCode>
                <c:ptCount val="2"/>
                <c:pt idx="0">
                  <c:v>0</c:v>
                </c:pt>
                <c:pt idx="1">
                  <c:v>0</c:v>
                </c:pt>
              </c:numCache>
            </c:numRef>
          </c:val>
          <c:extLst>
            <c:ext xmlns:c16="http://schemas.microsoft.com/office/drawing/2014/chart" uri="{C3380CC4-5D6E-409C-BE32-E72D297353CC}">
              <c16:uniqueId val="{00000006-67FB-4552-8BAB-7B0FAF591BFA}"/>
            </c:ext>
          </c:extLst>
        </c:ser>
        <c:ser>
          <c:idx val="7"/>
          <c:order val="7"/>
          <c:tx>
            <c:strRef>
              <c:f>Лист1!$I$1</c:f>
              <c:strCache>
                <c:ptCount val="1"/>
                <c:pt idx="0">
                  <c:v>Ostala materijalna imovina</c:v>
                </c:pt>
              </c:strCache>
            </c:strRef>
          </c:tx>
          <c:spPr>
            <a:gradFill>
              <a:gsLst>
                <a:gs pos="0">
                  <a:schemeClr val="dk1">
                    <a:tint val="88500"/>
                  </a:schemeClr>
                </a:gs>
                <a:gs pos="75000">
                  <a:schemeClr val="dk1">
                    <a:tint val="88500"/>
                    <a:lumMod val="60000"/>
                    <a:lumOff val="40000"/>
                  </a:schemeClr>
                </a:gs>
                <a:gs pos="51000">
                  <a:schemeClr val="dk1">
                    <a:tint val="88500"/>
                    <a:alpha val="75000"/>
                  </a:schemeClr>
                </a:gs>
                <a:gs pos="100000">
                  <a:schemeClr val="dk1">
                    <a:tint val="88500"/>
                    <a:lumMod val="20000"/>
                    <a:lumOff val="80000"/>
                    <a:alpha val="15000"/>
                  </a:schemeClr>
                </a:gs>
              </a:gsLst>
              <a:lin ang="10800000" scaled="1"/>
            </a:gradFill>
            <a:ln>
              <a:noFill/>
              <a:round/>
            </a:ln>
            <a:effectLst/>
          </c:spPr>
          <c:invertIfNegative val="0"/>
          <c:cat>
            <c:strRef>
              <c:f>'Лист1'!$A$2:$A$3</c:f>
              <c:strCache>
                <c:ptCount val="2"/>
                <c:pt idx="0">
                  <c:v>2024</c:v>
                </c:pt>
                <c:pt idx="1">
                  <c:v>2023</c:v>
                </c:pt>
              </c:strCache>
            </c:strRef>
          </c:cat>
          <c:val>
            <c:numRef>
              <c:f>'Лист1'!$I$2:$I$3</c:f>
              <c:numCache>
                <c:formatCode>General</c:formatCode>
                <c:ptCount val="2"/>
                <c:pt idx="0">
                  <c:v>0</c:v>
                </c:pt>
                <c:pt idx="1">
                  <c:v>0</c:v>
                </c:pt>
              </c:numCache>
            </c:numRef>
          </c:val>
          <c:extLst>
            <c:ext xmlns:c16="http://schemas.microsoft.com/office/drawing/2014/chart" uri="{C3380CC4-5D6E-409C-BE32-E72D297353CC}">
              <c16:uniqueId val="{00000007-67FB-4552-8BAB-7B0FAF591BFA}"/>
            </c:ext>
          </c:extLst>
        </c:ser>
        <c:ser>
          <c:idx val="8"/>
          <c:order val="8"/>
          <c:tx>
            <c:strRef>
              <c:f>Лист1!$J$1</c:f>
              <c:strCache>
                <c:ptCount val="1"/>
                <c:pt idx="0">
                  <c:v>Ulaganje u nekretnine</c:v>
                </c:pt>
              </c:strCache>
            </c:strRef>
          </c:tx>
          <c:spPr>
            <a:gradFill>
              <a:gsLst>
                <a:gs pos="0">
                  <a:schemeClr val="dk1">
                    <a:tint val="55000"/>
                  </a:schemeClr>
                </a:gs>
                <a:gs pos="75000">
                  <a:schemeClr val="dk1">
                    <a:tint val="55000"/>
                    <a:lumMod val="60000"/>
                    <a:lumOff val="40000"/>
                  </a:schemeClr>
                </a:gs>
                <a:gs pos="51000">
                  <a:schemeClr val="dk1">
                    <a:tint val="55000"/>
                    <a:alpha val="75000"/>
                  </a:schemeClr>
                </a:gs>
                <a:gs pos="100000">
                  <a:schemeClr val="dk1">
                    <a:tint val="55000"/>
                    <a:lumMod val="20000"/>
                    <a:lumOff val="80000"/>
                    <a:alpha val="15000"/>
                  </a:schemeClr>
                </a:gs>
              </a:gsLst>
              <a:lin ang="10800000" scaled="1"/>
            </a:gradFill>
            <a:ln>
              <a:noFill/>
              <a:round/>
            </a:ln>
            <a:effectLst/>
          </c:spPr>
          <c:invertIfNegative val="0"/>
          <c:cat>
            <c:strRef>
              <c:f>'Лист1'!$A$2:$A$3</c:f>
              <c:strCache>
                <c:ptCount val="2"/>
                <c:pt idx="0">
                  <c:v>2024</c:v>
                </c:pt>
                <c:pt idx="1">
                  <c:v>2023</c:v>
                </c:pt>
              </c:strCache>
            </c:strRef>
          </c:cat>
          <c:val>
            <c:numRef>
              <c:f>'Лист1'!$J$2:$J$3</c:f>
              <c:numCache>
                <c:formatCode>General</c:formatCode>
                <c:ptCount val="2"/>
                <c:pt idx="0">
                  <c:v>0</c:v>
                </c:pt>
                <c:pt idx="1">
                  <c:v>0</c:v>
                </c:pt>
              </c:numCache>
            </c:numRef>
          </c:val>
          <c:extLst>
            <c:ext xmlns:c16="http://schemas.microsoft.com/office/drawing/2014/chart" uri="{C3380CC4-5D6E-409C-BE32-E72D297353CC}">
              <c16:uniqueId val="{00000008-67FB-4552-8BAB-7B0FAF591BFA}"/>
            </c:ext>
          </c:extLst>
        </c:ser>
        <c:dLbls>
          <c:showLegendKey val="0"/>
          <c:showVal val="0"/>
          <c:showCatName val="0"/>
          <c:showSerName val="0"/>
          <c:showPercent val="0"/>
          <c:showBubbleSize val="0"/>
        </c:dLbls>
        <c:gapWidth val="326"/>
        <c:overlap val="-58"/>
        <c:axId val="-1151470464"/>
        <c:axId val="-1151493632"/>
      </c:barChart>
      <c:catAx>
        <c:axId val="-1151470464"/>
        <c:scaling>
          <c:orientation val="minMax"/>
        </c:scaling>
        <c:delete val="0"/>
        <c:axPos val="l"/>
        <c:numFmt formatCode="General" sourceLinked="1"/>
        <c:majorTickMark val="none"/>
        <c:minorTickMark val="none"/>
        <c:tickLblPos val="nextTo"/>
        <c:spPr>
          <a:ln w="19050">
            <a:solidFill>
              <a:srgbClr val="D9D9D9"/>
            </a:solidFill>
            <a:prstDash val="solid"/>
            <a:round/>
          </a:ln>
        </c:spPr>
        <c:txPr>
          <a:bodyPr/>
          <a:lstStyle/>
          <a:p>
            <a:pPr algn="ctr">
              <a:defRPr sz="900" baseline="0">
                <a:solidFill>
                  <a:srgbClr val="595959"/>
                </a:solidFill>
                <a:latin typeface="Times New Roman"/>
                <a:ea typeface="Times New Roman"/>
                <a:cs typeface="Times New Roman"/>
              </a:defRPr>
            </a:pPr>
            <a:endParaRPr lang="sr-Latn-RS"/>
          </a:p>
        </c:txPr>
        <c:crossAx val="-1151493632"/>
        <c:crosses val="autoZero"/>
        <c:auto val="1"/>
        <c:lblAlgn val="ctr"/>
        <c:lblOffset val="100"/>
        <c:noMultiLvlLbl val="0"/>
      </c:catAx>
      <c:valAx>
        <c:axId val="-1151493632"/>
        <c:scaling>
          <c:orientation val="minMax"/>
        </c:scaling>
        <c:delete val="0"/>
        <c:axPos val="b"/>
        <c:majorGridlines>
          <c:spPr>
            <a:ln w="9525">
              <a:gradFill>
                <a:gsLst>
                  <a:gs pos="99000">
                    <a:schemeClr val="tx1">
                      <a:lumMod val="25000"/>
                      <a:lumOff val="75000"/>
                    </a:schemeClr>
                  </a:gs>
                  <a:gs pos="0">
                    <a:schemeClr val="tx1">
                      <a:lumMod val="15000"/>
                      <a:lumOff val="85000"/>
                    </a:schemeClr>
                  </a:gs>
                </a:gsLst>
                <a:lin ang="5400000" scaled="1"/>
              </a:gradFill>
              <a:round/>
            </a:ln>
          </c:spPr>
        </c:majorGridlines>
        <c:numFmt formatCode="General" sourceLinked="1"/>
        <c:majorTickMark val="none"/>
        <c:minorTickMark val="none"/>
        <c:tickLblPos val="nextTo"/>
        <c:spPr>
          <a:ln>
            <a:noFill/>
            <a:round/>
          </a:ln>
        </c:spPr>
        <c:txPr>
          <a:bodyPr/>
          <a:lstStyle/>
          <a:p>
            <a:pPr algn="ctr">
              <a:defRPr sz="900" baseline="0">
                <a:solidFill>
                  <a:srgbClr val="595959"/>
                </a:solidFill>
                <a:latin typeface="Times New Roman"/>
                <a:ea typeface="Times New Roman"/>
                <a:cs typeface="Times New Roman"/>
              </a:defRPr>
            </a:pPr>
            <a:endParaRPr lang="sr-Latn-RS"/>
          </a:p>
        </c:txPr>
        <c:crossAx val="-1151470464"/>
        <c:crosses val="autoZero"/>
        <c:crossBetween val="between"/>
      </c:valAx>
      <c:spPr>
        <a:noFill/>
        <a:ln>
          <a:noFill/>
          <a:round/>
        </a:ln>
        <a:effectLst/>
      </c:spPr>
    </c:plotArea>
    <c:legend>
      <c:legendPos val="t"/>
      <c:overlay val="0"/>
      <c:spPr>
        <a:noFill/>
        <a:ln>
          <a:noFill/>
          <a:round/>
        </a:ln>
        <a:effectLst/>
      </c:spPr>
      <c:txPr>
        <a:bodyPr/>
        <a:lstStyle/>
        <a:p>
          <a:pPr>
            <a:defRPr sz="900" b="0" baseline="0">
              <a:solidFill>
                <a:srgbClr val="595959"/>
              </a:solidFill>
              <a:latin typeface="Times New Roman"/>
              <a:ea typeface="Times New Roman"/>
              <a:cs typeface="Times New Roman"/>
            </a:defRPr>
          </a:pPr>
          <a:endParaRPr lang="sr-Latn-RS"/>
        </a:p>
      </c:txPr>
    </c:legend>
    <c:plotVisOnly val="1"/>
    <c:dispBlanksAs val="gap"/>
    <c:showDLblsOverMax val="1"/>
  </c:chart>
  <c:spPr>
    <a:solidFill>
      <a:srgbClr val="FFFFFF"/>
    </a:solidFill>
    <a:ln w="9525">
      <a:noFill/>
      <a:round/>
    </a:ln>
    <a:effectLst/>
  </c:spPr>
  <c:txPr>
    <a:bodyPr/>
    <a:lstStyle/>
    <a:p>
      <a:pPr>
        <a:defRPr>
          <a:latin typeface="Times New Roman" panose="02020603050405020304" pitchFamily="18" charset="0"/>
          <a:cs typeface="Times New Roman" panose="02020603050405020304" pitchFamily="18" charset="0"/>
        </a:defRPr>
      </a:pPr>
      <a:endParaRPr lang="en-H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manualLayout>
          <c:layoutTarget val="inner"/>
          <c:xMode val="edge"/>
          <c:yMode val="edge"/>
          <c:x val="9.7953570810117005E-2"/>
          <c:y val="3.8218433044245201E-2"/>
          <c:w val="0.85583337423290196"/>
          <c:h val="0.88143466117889202"/>
        </c:manualLayout>
      </c:layout>
      <c:barChart>
        <c:barDir val="bar"/>
        <c:grouping val="clustered"/>
        <c:varyColors val="0"/>
        <c:ser>
          <c:idx val="0"/>
          <c:order val="0"/>
          <c:tx>
            <c:strRef>
              <c:f>Лист1!$B$1</c:f>
              <c:strCache>
                <c:ptCount val="1"/>
                <c:pt idx="0">
                  <c:v>Potraživanja od poduzetnika unutar grupe</c:v>
                </c:pt>
              </c:strCache>
            </c:strRef>
          </c:tx>
          <c:spPr>
            <a:gradFill>
              <a:gsLst>
                <a:gs pos="0">
                  <a:schemeClr val="dk1">
                    <a:tint val="88500"/>
                  </a:schemeClr>
                </a:gs>
                <a:gs pos="75000">
                  <a:schemeClr val="dk1">
                    <a:tint val="88500"/>
                    <a:lumMod val="60000"/>
                    <a:lumOff val="40000"/>
                  </a:schemeClr>
                </a:gs>
                <a:gs pos="51000">
                  <a:schemeClr val="dk1">
                    <a:tint val="88500"/>
                    <a:alpha val="75000"/>
                  </a:schemeClr>
                </a:gs>
                <a:gs pos="100000">
                  <a:schemeClr val="dk1">
                    <a:tint val="88500"/>
                    <a:lumMod val="20000"/>
                    <a:lumOff val="80000"/>
                    <a:alpha val="15000"/>
                  </a:schemeClr>
                </a:gs>
              </a:gsLst>
              <a:lin ang="10800000" scaled="1"/>
            </a:gradFill>
            <a:ln>
              <a:noFill/>
              <a:round/>
            </a:ln>
            <a:effectLst/>
          </c:spPr>
          <c:invertIfNegative val="0"/>
          <c:cat>
            <c:strRef>
              <c:f>'Лист1'!$A$2:$A$3</c:f>
              <c:strCache>
                <c:ptCount val="2"/>
                <c:pt idx="0">
                  <c:v>2024</c:v>
                </c:pt>
                <c:pt idx="1">
                  <c:v>2023</c:v>
                </c:pt>
              </c:strCache>
            </c:strRef>
          </c:cat>
          <c:val>
            <c:numRef>
              <c:f>'Лист1'!$B$2:$B$3</c:f>
              <c:numCache>
                <c:formatCode>General</c:formatCode>
                <c:ptCount val="2"/>
                <c:pt idx="0">
                  <c:v>0</c:v>
                </c:pt>
                <c:pt idx="1">
                  <c:v>0</c:v>
                </c:pt>
              </c:numCache>
            </c:numRef>
          </c:val>
          <c:extLst>
            <c:ext xmlns:c16="http://schemas.microsoft.com/office/drawing/2014/chart" uri="{C3380CC4-5D6E-409C-BE32-E72D297353CC}">
              <c16:uniqueId val="{00000000-FF76-4113-9EA1-988BC833A256}"/>
            </c:ext>
          </c:extLst>
        </c:ser>
        <c:ser>
          <c:idx val="1"/>
          <c:order val="1"/>
          <c:tx>
            <c:strRef>
              <c:f>Лист1!$C$1</c:f>
              <c:strCache>
                <c:ptCount val="1"/>
                <c:pt idx="0">
                  <c:v>Potraživanja od društava povezanih sudjelujućim interesom</c:v>
                </c:pt>
              </c:strCache>
            </c:strRef>
          </c:tx>
          <c:spPr>
            <a:gradFill>
              <a:gsLst>
                <a:gs pos="0">
                  <a:schemeClr val="dk1">
                    <a:tint val="55000"/>
                  </a:schemeClr>
                </a:gs>
                <a:gs pos="75000">
                  <a:schemeClr val="dk1">
                    <a:tint val="55000"/>
                    <a:lumMod val="60000"/>
                    <a:lumOff val="40000"/>
                  </a:schemeClr>
                </a:gs>
                <a:gs pos="51000">
                  <a:schemeClr val="dk1">
                    <a:tint val="55000"/>
                    <a:alpha val="75000"/>
                  </a:schemeClr>
                </a:gs>
                <a:gs pos="100000">
                  <a:schemeClr val="dk1">
                    <a:tint val="55000"/>
                    <a:lumMod val="20000"/>
                    <a:lumOff val="80000"/>
                    <a:alpha val="15000"/>
                  </a:schemeClr>
                </a:gs>
              </a:gsLst>
              <a:lin ang="10800000" scaled="1"/>
            </a:gradFill>
            <a:ln>
              <a:noFill/>
              <a:round/>
            </a:ln>
            <a:effectLst/>
          </c:spPr>
          <c:invertIfNegative val="0"/>
          <c:cat>
            <c:strRef>
              <c:f>'Лист1'!$A$2:$A$3</c:f>
              <c:strCache>
                <c:ptCount val="2"/>
                <c:pt idx="0">
                  <c:v>2024</c:v>
                </c:pt>
                <c:pt idx="1">
                  <c:v>2023</c:v>
                </c:pt>
              </c:strCache>
            </c:strRef>
          </c:cat>
          <c:val>
            <c:numRef>
              <c:f>'Лист1'!$C$2:$C$3</c:f>
              <c:numCache>
                <c:formatCode>General</c:formatCode>
                <c:ptCount val="2"/>
                <c:pt idx="0">
                  <c:v>0</c:v>
                </c:pt>
                <c:pt idx="1">
                  <c:v>0</c:v>
                </c:pt>
              </c:numCache>
            </c:numRef>
          </c:val>
          <c:extLst>
            <c:ext xmlns:c16="http://schemas.microsoft.com/office/drawing/2014/chart" uri="{C3380CC4-5D6E-409C-BE32-E72D297353CC}">
              <c16:uniqueId val="{00000001-FF76-4113-9EA1-988BC833A256}"/>
            </c:ext>
          </c:extLst>
        </c:ser>
        <c:ser>
          <c:idx val="2"/>
          <c:order val="2"/>
          <c:tx>
            <c:strRef>
              <c:f>Лист1!$D$1</c:f>
              <c:strCache>
                <c:ptCount val="1"/>
                <c:pt idx="0">
                  <c:v>Potraživanja od kupaca</c:v>
                </c:pt>
              </c:strCache>
            </c:strRef>
          </c:tx>
          <c:spPr>
            <a:gradFill>
              <a:gsLst>
                <a:gs pos="0">
                  <a:schemeClr val="dk1">
                    <a:tint val="75000"/>
                  </a:schemeClr>
                </a:gs>
                <a:gs pos="75000">
                  <a:schemeClr val="dk1">
                    <a:tint val="75000"/>
                    <a:lumMod val="60000"/>
                    <a:lumOff val="40000"/>
                  </a:schemeClr>
                </a:gs>
                <a:gs pos="51000">
                  <a:schemeClr val="dk1">
                    <a:tint val="75000"/>
                    <a:alpha val="75000"/>
                  </a:schemeClr>
                </a:gs>
                <a:gs pos="100000">
                  <a:schemeClr val="dk1">
                    <a:tint val="75000"/>
                    <a:lumMod val="20000"/>
                    <a:lumOff val="80000"/>
                    <a:alpha val="15000"/>
                  </a:schemeClr>
                </a:gs>
              </a:gsLst>
              <a:lin ang="10800000" scaled="1"/>
            </a:gradFill>
            <a:ln>
              <a:noFill/>
              <a:round/>
            </a:ln>
            <a:effectLst/>
          </c:spPr>
          <c:invertIfNegative val="0"/>
          <c:cat>
            <c:strRef>
              <c:f>'Лист1'!$A$2:$A$3</c:f>
              <c:strCache>
                <c:ptCount val="2"/>
                <c:pt idx="0">
                  <c:v>2024</c:v>
                </c:pt>
                <c:pt idx="1">
                  <c:v>2023</c:v>
                </c:pt>
              </c:strCache>
            </c:strRef>
          </c:cat>
          <c:val>
            <c:numRef>
              <c:f>'Лист1'!$D$2:$D$3</c:f>
              <c:numCache>
                <c:formatCode>General</c:formatCode>
                <c:ptCount val="2"/>
                <c:pt idx="0">
                  <c:v>26243.35</c:v>
                </c:pt>
                <c:pt idx="1">
                  <c:v>24003.29</c:v>
                </c:pt>
              </c:numCache>
            </c:numRef>
          </c:val>
          <c:extLst>
            <c:ext xmlns:c16="http://schemas.microsoft.com/office/drawing/2014/chart" uri="{C3380CC4-5D6E-409C-BE32-E72D297353CC}">
              <c16:uniqueId val="{00000002-FF76-4113-9EA1-988BC833A256}"/>
            </c:ext>
          </c:extLst>
        </c:ser>
        <c:ser>
          <c:idx val="3"/>
          <c:order val="3"/>
          <c:tx>
            <c:strRef>
              <c:f>Лист1!$E$1</c:f>
              <c:strCache>
                <c:ptCount val="1"/>
                <c:pt idx="0">
                  <c:v>Potraživanja od zaposlenika i članova poduzetnika</c:v>
                </c:pt>
              </c:strCache>
            </c:strRef>
          </c:tx>
          <c:spPr>
            <a:gradFill>
              <a:gsLst>
                <a:gs pos="0">
                  <a:schemeClr val="dk1">
                    <a:tint val="98500"/>
                  </a:schemeClr>
                </a:gs>
                <a:gs pos="75000">
                  <a:schemeClr val="dk1">
                    <a:tint val="98500"/>
                    <a:lumMod val="60000"/>
                    <a:lumOff val="40000"/>
                  </a:schemeClr>
                </a:gs>
                <a:gs pos="51000">
                  <a:schemeClr val="dk1">
                    <a:tint val="98500"/>
                    <a:alpha val="75000"/>
                  </a:schemeClr>
                </a:gs>
                <a:gs pos="100000">
                  <a:schemeClr val="dk1">
                    <a:tint val="98500"/>
                    <a:lumMod val="20000"/>
                    <a:lumOff val="80000"/>
                    <a:alpha val="15000"/>
                  </a:schemeClr>
                </a:gs>
              </a:gsLst>
              <a:lin ang="10800000" scaled="1"/>
            </a:gradFill>
            <a:ln>
              <a:noFill/>
              <a:round/>
            </a:ln>
            <a:effectLst/>
          </c:spPr>
          <c:invertIfNegative val="0"/>
          <c:cat>
            <c:strRef>
              <c:f>'Лист1'!$A$2:$A$3</c:f>
              <c:strCache>
                <c:ptCount val="2"/>
                <c:pt idx="0">
                  <c:v>2024</c:v>
                </c:pt>
                <c:pt idx="1">
                  <c:v>2023</c:v>
                </c:pt>
              </c:strCache>
            </c:strRef>
          </c:cat>
          <c:val>
            <c:numRef>
              <c:f>'Лист1'!$E$2:$E$3</c:f>
              <c:numCache>
                <c:formatCode>General</c:formatCode>
                <c:ptCount val="2"/>
                <c:pt idx="0">
                  <c:v>0</c:v>
                </c:pt>
                <c:pt idx="1">
                  <c:v>0</c:v>
                </c:pt>
              </c:numCache>
            </c:numRef>
          </c:val>
          <c:extLst>
            <c:ext xmlns:c16="http://schemas.microsoft.com/office/drawing/2014/chart" uri="{C3380CC4-5D6E-409C-BE32-E72D297353CC}">
              <c16:uniqueId val="{00000003-FF76-4113-9EA1-988BC833A256}"/>
            </c:ext>
          </c:extLst>
        </c:ser>
        <c:ser>
          <c:idx val="4"/>
          <c:order val="4"/>
          <c:tx>
            <c:strRef>
              <c:f>Лист1!$F$1</c:f>
              <c:strCache>
                <c:ptCount val="1"/>
                <c:pt idx="0">
                  <c:v>Potraživanja od države i drugih institucija</c:v>
                </c:pt>
              </c:strCache>
            </c:strRef>
          </c:tx>
          <c:spPr>
            <a:gradFill>
              <a:gsLst>
                <a:gs pos="0">
                  <a:schemeClr val="dk1">
                    <a:tint val="30000"/>
                  </a:schemeClr>
                </a:gs>
                <a:gs pos="75000">
                  <a:schemeClr val="dk1">
                    <a:tint val="30000"/>
                    <a:lumMod val="60000"/>
                    <a:lumOff val="40000"/>
                  </a:schemeClr>
                </a:gs>
                <a:gs pos="51000">
                  <a:schemeClr val="dk1">
                    <a:tint val="30000"/>
                    <a:alpha val="75000"/>
                  </a:schemeClr>
                </a:gs>
                <a:gs pos="100000">
                  <a:schemeClr val="dk1">
                    <a:tint val="30000"/>
                    <a:lumMod val="20000"/>
                    <a:lumOff val="80000"/>
                    <a:alpha val="15000"/>
                  </a:schemeClr>
                </a:gs>
              </a:gsLst>
              <a:lin ang="10800000" scaled="1"/>
            </a:gradFill>
            <a:ln>
              <a:noFill/>
              <a:round/>
            </a:ln>
            <a:effectLst/>
          </c:spPr>
          <c:invertIfNegative val="0"/>
          <c:cat>
            <c:strRef>
              <c:f>'Лист1'!$A$2:$A$3</c:f>
              <c:strCache>
                <c:ptCount val="2"/>
                <c:pt idx="0">
                  <c:v>2024</c:v>
                </c:pt>
                <c:pt idx="1">
                  <c:v>2023</c:v>
                </c:pt>
              </c:strCache>
            </c:strRef>
          </c:cat>
          <c:val>
            <c:numRef>
              <c:f>'Лист1'!$F$2:$F$3</c:f>
              <c:numCache>
                <c:formatCode>General</c:formatCode>
                <c:ptCount val="2"/>
                <c:pt idx="0">
                  <c:v>2936.35</c:v>
                </c:pt>
                <c:pt idx="1">
                  <c:v>1171.3599999999999</c:v>
                </c:pt>
              </c:numCache>
            </c:numRef>
          </c:val>
          <c:extLst>
            <c:ext xmlns:c16="http://schemas.microsoft.com/office/drawing/2014/chart" uri="{C3380CC4-5D6E-409C-BE32-E72D297353CC}">
              <c16:uniqueId val="{00000004-FF76-4113-9EA1-988BC833A256}"/>
            </c:ext>
          </c:extLst>
        </c:ser>
        <c:ser>
          <c:idx val="5"/>
          <c:order val="5"/>
          <c:tx>
            <c:strRef>
              <c:f>Лист1!$G$1</c:f>
              <c:strCache>
                <c:ptCount val="1"/>
                <c:pt idx="0">
                  <c:v>Ostala potraživanja</c:v>
                </c:pt>
              </c:strCache>
            </c:strRef>
          </c:tx>
          <c:spPr>
            <a:gradFill>
              <a:gsLst>
                <a:gs pos="0">
                  <a:schemeClr val="dk1">
                    <a:tint val="60000"/>
                  </a:schemeClr>
                </a:gs>
                <a:gs pos="75000">
                  <a:schemeClr val="dk1">
                    <a:tint val="60000"/>
                    <a:lumMod val="60000"/>
                    <a:lumOff val="40000"/>
                  </a:schemeClr>
                </a:gs>
                <a:gs pos="51000">
                  <a:schemeClr val="dk1">
                    <a:tint val="60000"/>
                    <a:alpha val="75000"/>
                  </a:schemeClr>
                </a:gs>
                <a:gs pos="100000">
                  <a:schemeClr val="dk1">
                    <a:tint val="60000"/>
                    <a:lumMod val="20000"/>
                    <a:lumOff val="80000"/>
                    <a:alpha val="15000"/>
                  </a:schemeClr>
                </a:gs>
              </a:gsLst>
              <a:lin ang="10800000" scaled="1"/>
            </a:gradFill>
            <a:ln>
              <a:noFill/>
              <a:round/>
            </a:ln>
            <a:effectLst/>
          </c:spPr>
          <c:invertIfNegative val="0"/>
          <c:cat>
            <c:strRef>
              <c:f>'Лист1'!$A$2:$A$3</c:f>
              <c:strCache>
                <c:ptCount val="2"/>
                <c:pt idx="0">
                  <c:v>2024</c:v>
                </c:pt>
                <c:pt idx="1">
                  <c:v>2023</c:v>
                </c:pt>
              </c:strCache>
            </c:strRef>
          </c:cat>
          <c:val>
            <c:numRef>
              <c:f>'Лист1'!$G$2:$G$3</c:f>
              <c:numCache>
                <c:formatCode>General</c:formatCode>
                <c:ptCount val="2"/>
                <c:pt idx="0">
                  <c:v>0</c:v>
                </c:pt>
                <c:pt idx="1">
                  <c:v>0</c:v>
                </c:pt>
              </c:numCache>
            </c:numRef>
          </c:val>
          <c:extLst>
            <c:ext xmlns:c16="http://schemas.microsoft.com/office/drawing/2014/chart" uri="{C3380CC4-5D6E-409C-BE32-E72D297353CC}">
              <c16:uniqueId val="{00000005-FF76-4113-9EA1-988BC833A256}"/>
            </c:ext>
          </c:extLst>
        </c:ser>
        <c:dLbls>
          <c:showLegendKey val="0"/>
          <c:showVal val="0"/>
          <c:showCatName val="0"/>
          <c:showSerName val="0"/>
          <c:showPercent val="0"/>
          <c:showBubbleSize val="0"/>
        </c:dLbls>
        <c:gapWidth val="326"/>
        <c:overlap val="-58"/>
        <c:axId val="-1109163216"/>
        <c:axId val="-1109161168"/>
      </c:barChart>
      <c:catAx>
        <c:axId val="-1109163216"/>
        <c:scaling>
          <c:orientation val="minMax"/>
        </c:scaling>
        <c:delete val="0"/>
        <c:axPos val="l"/>
        <c:numFmt formatCode="General" sourceLinked="1"/>
        <c:majorTickMark val="none"/>
        <c:minorTickMark val="none"/>
        <c:tickLblPos val="nextTo"/>
        <c:spPr>
          <a:ln w="19050">
            <a:solidFill>
              <a:srgbClr val="D9D9D9"/>
            </a:solidFill>
            <a:prstDash val="solid"/>
            <a:round/>
          </a:ln>
        </c:spPr>
        <c:txPr>
          <a:bodyPr/>
          <a:lstStyle/>
          <a:p>
            <a:pPr algn="ctr">
              <a:defRPr sz="900" baseline="0">
                <a:solidFill>
                  <a:srgbClr val="595959"/>
                </a:solidFill>
                <a:latin typeface="Times New Roman"/>
                <a:ea typeface="Times New Roman"/>
                <a:cs typeface="Times New Roman"/>
              </a:defRPr>
            </a:pPr>
            <a:endParaRPr lang="sr-Latn-RS"/>
          </a:p>
        </c:txPr>
        <c:crossAx val="-1109161168"/>
        <c:crosses val="autoZero"/>
        <c:auto val="1"/>
        <c:lblAlgn val="ctr"/>
        <c:lblOffset val="100"/>
        <c:noMultiLvlLbl val="0"/>
      </c:catAx>
      <c:valAx>
        <c:axId val="-1109161168"/>
        <c:scaling>
          <c:orientation val="minMax"/>
        </c:scaling>
        <c:delete val="0"/>
        <c:axPos val="b"/>
        <c:majorGridlines>
          <c:spPr>
            <a:ln w="9525">
              <a:gradFill>
                <a:gsLst>
                  <a:gs pos="99000">
                    <a:schemeClr val="tx1">
                      <a:lumMod val="25000"/>
                      <a:lumOff val="75000"/>
                    </a:schemeClr>
                  </a:gs>
                  <a:gs pos="0">
                    <a:schemeClr val="tx1">
                      <a:lumMod val="15000"/>
                      <a:lumOff val="85000"/>
                    </a:schemeClr>
                  </a:gs>
                </a:gsLst>
                <a:lin ang="5400000" scaled="1"/>
              </a:gradFill>
              <a:round/>
            </a:ln>
          </c:spPr>
        </c:majorGridlines>
        <c:numFmt formatCode="General" sourceLinked="1"/>
        <c:majorTickMark val="none"/>
        <c:minorTickMark val="none"/>
        <c:tickLblPos val="nextTo"/>
        <c:spPr>
          <a:ln>
            <a:noFill/>
            <a:round/>
          </a:ln>
        </c:spPr>
        <c:txPr>
          <a:bodyPr/>
          <a:lstStyle/>
          <a:p>
            <a:pPr algn="ctr">
              <a:defRPr sz="900" baseline="0">
                <a:solidFill>
                  <a:srgbClr val="595959"/>
                </a:solidFill>
                <a:latin typeface="Times New Roman"/>
                <a:ea typeface="Times New Roman"/>
                <a:cs typeface="Times New Roman"/>
              </a:defRPr>
            </a:pPr>
            <a:endParaRPr lang="sr-Latn-RS"/>
          </a:p>
        </c:txPr>
        <c:crossAx val="-1109163216"/>
        <c:crosses val="autoZero"/>
        <c:crossBetween val="between"/>
      </c:valAx>
      <c:spPr>
        <a:noFill/>
        <a:ln>
          <a:noFill/>
          <a:round/>
        </a:ln>
        <a:effectLst/>
      </c:spPr>
    </c:plotArea>
    <c:legend>
      <c:legendPos val="b"/>
      <c:overlay val="0"/>
      <c:spPr>
        <a:noFill/>
        <a:ln>
          <a:noFill/>
          <a:round/>
        </a:ln>
        <a:effectLst/>
      </c:spPr>
      <c:txPr>
        <a:bodyPr/>
        <a:lstStyle/>
        <a:p>
          <a:pPr>
            <a:defRPr sz="900" b="0" baseline="0">
              <a:solidFill>
                <a:srgbClr val="595959"/>
              </a:solidFill>
              <a:latin typeface="Times New Roman"/>
              <a:ea typeface="Times New Roman"/>
              <a:cs typeface="Times New Roman"/>
            </a:defRPr>
          </a:pPr>
          <a:endParaRPr lang="sr-Latn-RS"/>
        </a:p>
      </c:txPr>
    </c:legend>
    <c:plotVisOnly val="1"/>
    <c:dispBlanksAs val="gap"/>
    <c:showDLblsOverMax val="1"/>
  </c:chart>
  <c:spPr>
    <a:solidFill>
      <a:srgbClr val="FFFFFF"/>
    </a:solidFill>
    <a:ln w="9525">
      <a:noFill/>
      <a:round/>
    </a:ln>
    <a:effectLst/>
  </c:spPr>
  <c:txPr>
    <a:bodyPr/>
    <a:lstStyle/>
    <a:p>
      <a:pPr>
        <a:defRPr>
          <a:latin typeface="Times New Roman" panose="02020603050405020304" pitchFamily="18" charset="0"/>
          <a:cs typeface="Times New Roman" panose="02020603050405020304" pitchFamily="18" charset="0"/>
        </a:defRPr>
      </a:pPr>
      <a:endParaRPr lang="en-H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barChart>
        <c:barDir val="col"/>
        <c:grouping val="stacked"/>
        <c:varyColors val="0"/>
        <c:ser>
          <c:idx val="0"/>
          <c:order val="0"/>
          <c:tx>
            <c:strRef>
              <c:f>Лист1!$B$1</c:f>
              <c:strCache>
                <c:ptCount val="1"/>
                <c:pt idx="0">
                  <c:v>Dugoročne obveze</c:v>
                </c:pt>
              </c:strCache>
            </c:strRef>
          </c:tx>
          <c:spPr>
            <a:solidFill>
              <a:srgbClr val="5F5F5F"/>
            </a:solidFill>
            <a:ln>
              <a:noFill/>
              <a:round/>
            </a:ln>
            <a:effectLst/>
          </c:spPr>
          <c:invertIfNegative val="0"/>
          <c:dLbls>
            <c:spPr>
              <a:noFill/>
              <a:ln>
                <a:noFill/>
                <a:round/>
              </a:ln>
              <a:effectLst/>
            </c:spPr>
            <c:txPr>
              <a:bodyPr/>
              <a:lstStyle/>
              <a:p>
                <a:pPr>
                  <a:defRPr sz="900" b="0" baseline="0">
                    <a:solidFill>
                      <a:srgbClr val="FFFFFF"/>
                    </a:solidFill>
                    <a:latin typeface="Times New Roman"/>
                    <a:ea typeface="Times New Roman"/>
                    <a:cs typeface="Times New Roman"/>
                  </a:defRPr>
                </a:pPr>
                <a:endParaRPr lang="sr-Latn-R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rgbClr val="A6A6A6"/>
                      </a:solidFill>
                      <a:prstDash val="solid"/>
                      <a:round/>
                    </a:ln>
                  </c:spPr>
                </c15:leaderLines>
              </c:ext>
            </c:extLst>
          </c:dLbls>
          <c:cat>
            <c:strRef>
              <c:f>'Лист1'!$A$2:$A$3</c:f>
              <c:strCache>
                <c:ptCount val="2"/>
                <c:pt idx="0">
                  <c:v>2023</c:v>
                </c:pt>
                <c:pt idx="1">
                  <c:v>2024</c:v>
                </c:pt>
              </c:strCache>
            </c:strRef>
          </c:cat>
          <c:val>
            <c:numRef>
              <c:f>'Лист1'!$B$2:$B$3</c:f>
              <c:numCache>
                <c:formatCode>General</c:formatCode>
                <c:ptCount val="2"/>
                <c:pt idx="0">
                  <c:v>2023</c:v>
                </c:pt>
                <c:pt idx="1">
                  <c:v>2024</c:v>
                </c:pt>
              </c:numCache>
            </c:numRef>
          </c:val>
          <c:extLst>
            <c:ext xmlns:c16="http://schemas.microsoft.com/office/drawing/2014/chart" uri="{C3380CC4-5D6E-409C-BE32-E72D297353CC}">
              <c16:uniqueId val="{00000000-37EB-4776-9CB4-A73929465236}"/>
            </c:ext>
          </c:extLst>
        </c:ser>
        <c:ser>
          <c:idx val="1"/>
          <c:order val="1"/>
          <c:tx>
            <c:strRef>
              <c:f>Лист1!$C$1</c:f>
              <c:strCache>
                <c:ptCount val="1"/>
                <c:pt idx="0">
                  <c:v>Kratkoročne obveze</c:v>
                </c:pt>
              </c:strCache>
            </c:strRef>
          </c:tx>
          <c:spPr>
            <a:solidFill>
              <a:srgbClr val="B3B3B3"/>
            </a:solidFill>
            <a:ln>
              <a:noFill/>
              <a:round/>
            </a:ln>
            <a:effectLst/>
          </c:spPr>
          <c:invertIfNegative val="0"/>
          <c:dLbls>
            <c:spPr>
              <a:noFill/>
              <a:ln>
                <a:noFill/>
                <a:round/>
              </a:ln>
              <a:effectLst/>
            </c:spPr>
            <c:txPr>
              <a:bodyPr/>
              <a:lstStyle/>
              <a:p>
                <a:pPr>
                  <a:defRPr sz="900" b="0" baseline="0">
                    <a:solidFill>
                      <a:srgbClr val="FFFFFF"/>
                    </a:solidFill>
                    <a:latin typeface="Times New Roman"/>
                    <a:ea typeface="Times New Roman"/>
                    <a:cs typeface="Times New Roman"/>
                  </a:defRPr>
                </a:pPr>
                <a:endParaRPr lang="sr-Latn-R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rgbClr val="A6A6A6"/>
                      </a:solidFill>
                      <a:prstDash val="solid"/>
                      <a:round/>
                    </a:ln>
                  </c:spPr>
                </c15:leaderLines>
              </c:ext>
            </c:extLst>
          </c:dLbls>
          <c:cat>
            <c:strRef>
              <c:f>'Лист1'!$A$2:$A$3</c:f>
              <c:strCache>
                <c:ptCount val="2"/>
                <c:pt idx="0">
                  <c:v>2023</c:v>
                </c:pt>
                <c:pt idx="1">
                  <c:v>2024</c:v>
                </c:pt>
              </c:strCache>
            </c:strRef>
          </c:cat>
          <c:val>
            <c:numRef>
              <c:f>'Лист1'!$C$2:$C$3</c:f>
              <c:numCache>
                <c:formatCode>General</c:formatCode>
                <c:ptCount val="2"/>
                <c:pt idx="0">
                  <c:v>8581.99</c:v>
                </c:pt>
                <c:pt idx="1">
                  <c:v>15457.83</c:v>
                </c:pt>
              </c:numCache>
            </c:numRef>
          </c:val>
          <c:extLst>
            <c:ext xmlns:c16="http://schemas.microsoft.com/office/drawing/2014/chart" uri="{C3380CC4-5D6E-409C-BE32-E72D297353CC}">
              <c16:uniqueId val="{00000001-37EB-4776-9CB4-A73929465236}"/>
            </c:ext>
          </c:extLst>
        </c:ser>
        <c:dLbls>
          <c:dLblPos val="ctr"/>
          <c:showLegendKey val="0"/>
          <c:showVal val="1"/>
          <c:showCatName val="0"/>
          <c:showSerName val="0"/>
          <c:showPercent val="0"/>
          <c:showBubbleSize val="0"/>
        </c:dLbls>
        <c:gapWidth val="79"/>
        <c:overlap val="100"/>
        <c:axId val="-1112617840"/>
        <c:axId val="-1112615520"/>
      </c:barChart>
      <c:catAx>
        <c:axId val="-1112617840"/>
        <c:scaling>
          <c:orientation val="minMax"/>
        </c:scaling>
        <c:delete val="0"/>
        <c:axPos val="b"/>
        <c:majorGridlines>
          <c:spPr>
            <a:ln w="9525">
              <a:solidFill>
                <a:srgbClr val="D9D9D9"/>
              </a:solidFill>
              <a:prstDash val="solid"/>
              <a:round/>
            </a:ln>
          </c:spPr>
        </c:majorGridlines>
        <c:numFmt formatCode="General" sourceLinked="1"/>
        <c:majorTickMark val="none"/>
        <c:minorTickMark val="none"/>
        <c:tickLblPos val="nextTo"/>
        <c:spPr>
          <a:ln w="9525">
            <a:solidFill>
              <a:srgbClr val="D9D9D9"/>
            </a:solidFill>
            <a:prstDash val="solid"/>
            <a:round/>
          </a:ln>
        </c:spPr>
        <c:txPr>
          <a:bodyPr/>
          <a:lstStyle/>
          <a:p>
            <a:pPr algn="ctr">
              <a:defRPr sz="800" baseline="0">
                <a:solidFill>
                  <a:srgbClr val="595959"/>
                </a:solidFill>
                <a:latin typeface="Times New Roman"/>
                <a:ea typeface="Times New Roman"/>
                <a:cs typeface="Times New Roman"/>
              </a:defRPr>
            </a:pPr>
            <a:endParaRPr lang="sr-Latn-RS"/>
          </a:p>
        </c:txPr>
        <c:crossAx val="-1112615520"/>
        <c:crosses val="autoZero"/>
        <c:auto val="1"/>
        <c:lblAlgn val="ctr"/>
        <c:lblOffset val="100"/>
        <c:noMultiLvlLbl val="0"/>
      </c:catAx>
      <c:valAx>
        <c:axId val="-1112615520"/>
        <c:scaling>
          <c:orientation val="minMax"/>
        </c:scaling>
        <c:delete val="1"/>
        <c:axPos val="l"/>
        <c:numFmt formatCode="General" sourceLinked="1"/>
        <c:majorTickMark val="none"/>
        <c:minorTickMark val="none"/>
        <c:tickLblPos val="nextTo"/>
        <c:crossAx val="-1112617840"/>
        <c:crosses val="autoZero"/>
        <c:crossBetween val="between"/>
      </c:valAx>
      <c:spPr>
        <a:noFill/>
        <a:ln>
          <a:noFill/>
          <a:round/>
        </a:ln>
        <a:effectLst/>
      </c:spPr>
    </c:plotArea>
    <c:legend>
      <c:legendPos val="t"/>
      <c:overlay val="0"/>
      <c:spPr>
        <a:noFill/>
        <a:ln>
          <a:noFill/>
          <a:round/>
        </a:ln>
        <a:effectLst/>
      </c:spPr>
      <c:txPr>
        <a:bodyPr/>
        <a:lstStyle/>
        <a:p>
          <a:pPr>
            <a:defRPr sz="900" b="0" baseline="0">
              <a:solidFill>
                <a:srgbClr val="595959"/>
              </a:solidFill>
              <a:latin typeface="Times New Roman"/>
              <a:ea typeface="Times New Roman"/>
              <a:cs typeface="Times New Roman"/>
            </a:defRPr>
          </a:pPr>
          <a:endParaRPr lang="sr-Latn-RS"/>
        </a:p>
      </c:txPr>
    </c:legend>
    <c:plotVisOnly val="1"/>
    <c:dispBlanksAs val="gap"/>
    <c:showDLblsOverMax val="1"/>
  </c:chart>
  <c:spPr>
    <a:solidFill>
      <a:srgbClr val="FFFFFF"/>
    </a:solidFill>
    <a:ln w="9525">
      <a:noFill/>
      <a:round/>
    </a:ln>
    <a:effectLst/>
  </c:spPr>
  <c:txPr>
    <a:bodyPr/>
    <a:lstStyle/>
    <a:p>
      <a:pPr>
        <a:defRPr>
          <a:latin typeface="Times New Roman" panose="02020603050405020304" pitchFamily="18" charset="0"/>
          <a:cs typeface="Times New Roman" panose="02020603050405020304" pitchFamily="18" charset="0"/>
        </a:defRPr>
      </a:pPr>
      <a:endParaRPr lang="en-H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barChart>
        <c:barDir val="col"/>
        <c:grouping val="clustered"/>
        <c:varyColors val="0"/>
        <c:ser>
          <c:idx val="0"/>
          <c:order val="0"/>
          <c:tx>
            <c:strRef>
              <c:f>Лист1!$B$1</c:f>
              <c:strCache>
                <c:ptCount val="1"/>
                <c:pt idx="0">
                  <c:v>Obveze prema poduzetnicima unutar grupe</c:v>
                </c:pt>
              </c:strCache>
            </c:strRef>
          </c:tx>
          <c:spPr>
            <a:gradFill>
              <a:gsLst>
                <a:gs pos="0">
                  <a:schemeClr val="dk1">
                    <a:tint val="88500"/>
                  </a:schemeClr>
                </a:gs>
                <a:gs pos="75000">
                  <a:schemeClr val="dk1">
                    <a:tint val="88500"/>
                    <a:lumMod val="60000"/>
                    <a:lumOff val="40000"/>
                  </a:schemeClr>
                </a:gs>
                <a:gs pos="51000">
                  <a:schemeClr val="dk1">
                    <a:tint val="88500"/>
                    <a:alpha val="75000"/>
                  </a:schemeClr>
                </a:gs>
                <a:gs pos="100000">
                  <a:schemeClr val="dk1">
                    <a:tint val="88500"/>
                    <a:lumMod val="20000"/>
                    <a:lumOff val="80000"/>
                    <a:alpha val="15000"/>
                  </a:schemeClr>
                </a:gs>
              </a:gsLst>
              <a:lin ang="5400000" scaled="1"/>
            </a:gradFill>
            <a:ln>
              <a:noFill/>
              <a:round/>
            </a:ln>
            <a:effectLst/>
          </c:spPr>
          <c:invertIfNegative val="0"/>
          <c:cat>
            <c:strRef>
              <c:f>'Лист1'!$A$2:$A$3</c:f>
              <c:strCache>
                <c:ptCount val="2"/>
                <c:pt idx="0">
                  <c:v>2023</c:v>
                </c:pt>
                <c:pt idx="1">
                  <c:v>2024</c:v>
                </c:pt>
              </c:strCache>
            </c:strRef>
          </c:cat>
          <c:val>
            <c:numRef>
              <c:f>'Лист1'!$B$2:$B$3</c:f>
              <c:numCache>
                <c:formatCode>General</c:formatCode>
                <c:ptCount val="2"/>
                <c:pt idx="0">
                  <c:v>0</c:v>
                </c:pt>
                <c:pt idx="1">
                  <c:v>0</c:v>
                </c:pt>
              </c:numCache>
            </c:numRef>
          </c:val>
          <c:extLst>
            <c:ext xmlns:c16="http://schemas.microsoft.com/office/drawing/2014/chart" uri="{C3380CC4-5D6E-409C-BE32-E72D297353CC}">
              <c16:uniqueId val="{00000000-325B-47F9-BD15-5257DAFC2948}"/>
            </c:ext>
          </c:extLst>
        </c:ser>
        <c:ser>
          <c:idx val="1"/>
          <c:order val="1"/>
          <c:tx>
            <c:strRef>
              <c:f>Лист1!$C$1</c:f>
              <c:strCache>
                <c:ptCount val="1"/>
                <c:pt idx="0">
                  <c:v>Obveze za zajmove, depozite i slično poduzetnika unutar grupe</c:v>
                </c:pt>
              </c:strCache>
            </c:strRef>
          </c:tx>
          <c:spPr>
            <a:gradFill>
              <a:gsLst>
                <a:gs pos="0">
                  <a:schemeClr val="dk1">
                    <a:tint val="55000"/>
                  </a:schemeClr>
                </a:gs>
                <a:gs pos="75000">
                  <a:schemeClr val="dk1">
                    <a:tint val="55000"/>
                    <a:lumMod val="60000"/>
                    <a:lumOff val="40000"/>
                  </a:schemeClr>
                </a:gs>
                <a:gs pos="51000">
                  <a:schemeClr val="dk1">
                    <a:tint val="55000"/>
                    <a:alpha val="75000"/>
                  </a:schemeClr>
                </a:gs>
                <a:gs pos="100000">
                  <a:schemeClr val="dk1">
                    <a:tint val="55000"/>
                    <a:lumMod val="20000"/>
                    <a:lumOff val="80000"/>
                    <a:alpha val="15000"/>
                  </a:schemeClr>
                </a:gs>
              </a:gsLst>
              <a:lin ang="5400000" scaled="1"/>
            </a:gradFill>
            <a:ln>
              <a:noFill/>
              <a:round/>
            </a:ln>
            <a:effectLst/>
          </c:spPr>
          <c:invertIfNegative val="0"/>
          <c:cat>
            <c:strRef>
              <c:f>'Лист1'!$A$2:$A$3</c:f>
              <c:strCache>
                <c:ptCount val="2"/>
                <c:pt idx="0">
                  <c:v>2023</c:v>
                </c:pt>
                <c:pt idx="1">
                  <c:v>2024</c:v>
                </c:pt>
              </c:strCache>
            </c:strRef>
          </c:cat>
          <c:val>
            <c:numRef>
              <c:f>'Лист1'!$C$2:$C$3</c:f>
              <c:numCache>
                <c:formatCode>General</c:formatCode>
                <c:ptCount val="2"/>
                <c:pt idx="0">
                  <c:v>0</c:v>
                </c:pt>
                <c:pt idx="1">
                  <c:v>0</c:v>
                </c:pt>
              </c:numCache>
            </c:numRef>
          </c:val>
          <c:extLst>
            <c:ext xmlns:c16="http://schemas.microsoft.com/office/drawing/2014/chart" uri="{C3380CC4-5D6E-409C-BE32-E72D297353CC}">
              <c16:uniqueId val="{00000001-325B-47F9-BD15-5257DAFC2948}"/>
            </c:ext>
          </c:extLst>
        </c:ser>
        <c:ser>
          <c:idx val="2"/>
          <c:order val="2"/>
          <c:tx>
            <c:strRef>
              <c:f>Лист1!$D$1</c:f>
              <c:strCache>
                <c:ptCount val="1"/>
                <c:pt idx="0">
                  <c:v>Obveze prema društvima povezanim sudjelujućim interesom        </c:v>
                </c:pt>
              </c:strCache>
            </c:strRef>
          </c:tx>
          <c:spPr>
            <a:gradFill>
              <a:gsLst>
                <a:gs pos="0">
                  <a:schemeClr val="dk1">
                    <a:tint val="75000"/>
                  </a:schemeClr>
                </a:gs>
                <a:gs pos="75000">
                  <a:schemeClr val="dk1">
                    <a:tint val="75000"/>
                    <a:lumMod val="60000"/>
                    <a:lumOff val="40000"/>
                  </a:schemeClr>
                </a:gs>
                <a:gs pos="51000">
                  <a:schemeClr val="dk1">
                    <a:tint val="75000"/>
                    <a:alpha val="75000"/>
                  </a:schemeClr>
                </a:gs>
                <a:gs pos="100000">
                  <a:schemeClr val="dk1">
                    <a:tint val="75000"/>
                    <a:lumMod val="20000"/>
                    <a:lumOff val="80000"/>
                    <a:alpha val="15000"/>
                  </a:schemeClr>
                </a:gs>
              </a:gsLst>
              <a:lin ang="5400000" scaled="1"/>
            </a:gradFill>
            <a:ln>
              <a:noFill/>
              <a:round/>
            </a:ln>
            <a:effectLst/>
          </c:spPr>
          <c:invertIfNegative val="0"/>
          <c:cat>
            <c:strRef>
              <c:f>'Лист1'!$A$2:$A$3</c:f>
              <c:strCache>
                <c:ptCount val="2"/>
                <c:pt idx="0">
                  <c:v>2023</c:v>
                </c:pt>
                <c:pt idx="1">
                  <c:v>2024</c:v>
                </c:pt>
              </c:strCache>
            </c:strRef>
          </c:cat>
          <c:val>
            <c:numRef>
              <c:f>'Лист1'!$D$2:$D$3</c:f>
              <c:numCache>
                <c:formatCode>General</c:formatCode>
                <c:ptCount val="2"/>
                <c:pt idx="0">
                  <c:v>0</c:v>
                </c:pt>
                <c:pt idx="1">
                  <c:v>0</c:v>
                </c:pt>
              </c:numCache>
            </c:numRef>
          </c:val>
          <c:extLst>
            <c:ext xmlns:c16="http://schemas.microsoft.com/office/drawing/2014/chart" uri="{C3380CC4-5D6E-409C-BE32-E72D297353CC}">
              <c16:uniqueId val="{00000002-325B-47F9-BD15-5257DAFC2948}"/>
            </c:ext>
          </c:extLst>
        </c:ser>
        <c:ser>
          <c:idx val="3"/>
          <c:order val="3"/>
          <c:tx>
            <c:strRef>
              <c:f>Лист1!$E$1</c:f>
              <c:strCache>
                <c:ptCount val="1"/>
                <c:pt idx="0">
                  <c:v>Obveze za zajmove, depozite i slično društava povezanih sudjelujućim interesom</c:v>
                </c:pt>
              </c:strCache>
            </c:strRef>
          </c:tx>
          <c:spPr>
            <a:gradFill>
              <a:gsLst>
                <a:gs pos="0">
                  <a:schemeClr val="dk1">
                    <a:tint val="98500"/>
                  </a:schemeClr>
                </a:gs>
                <a:gs pos="75000">
                  <a:schemeClr val="dk1">
                    <a:tint val="98500"/>
                    <a:lumMod val="60000"/>
                    <a:lumOff val="40000"/>
                  </a:schemeClr>
                </a:gs>
                <a:gs pos="51000">
                  <a:schemeClr val="dk1">
                    <a:tint val="98500"/>
                    <a:alpha val="75000"/>
                  </a:schemeClr>
                </a:gs>
                <a:gs pos="100000">
                  <a:schemeClr val="dk1">
                    <a:tint val="98500"/>
                    <a:lumMod val="20000"/>
                    <a:lumOff val="80000"/>
                    <a:alpha val="15000"/>
                  </a:schemeClr>
                </a:gs>
              </a:gsLst>
              <a:lin ang="5400000" scaled="1"/>
            </a:gradFill>
            <a:ln>
              <a:noFill/>
              <a:round/>
            </a:ln>
            <a:effectLst/>
          </c:spPr>
          <c:invertIfNegative val="0"/>
          <c:cat>
            <c:strRef>
              <c:f>'Лист1'!$A$2:$A$3</c:f>
              <c:strCache>
                <c:ptCount val="2"/>
                <c:pt idx="0">
                  <c:v>2023</c:v>
                </c:pt>
                <c:pt idx="1">
                  <c:v>2024</c:v>
                </c:pt>
              </c:strCache>
            </c:strRef>
          </c:cat>
          <c:val>
            <c:numRef>
              <c:f>'Лист1'!$E$2:$E$3</c:f>
              <c:numCache>
                <c:formatCode>General</c:formatCode>
                <c:ptCount val="2"/>
                <c:pt idx="0">
                  <c:v>0</c:v>
                </c:pt>
                <c:pt idx="1">
                  <c:v>0</c:v>
                </c:pt>
              </c:numCache>
            </c:numRef>
          </c:val>
          <c:extLst>
            <c:ext xmlns:c16="http://schemas.microsoft.com/office/drawing/2014/chart" uri="{C3380CC4-5D6E-409C-BE32-E72D297353CC}">
              <c16:uniqueId val="{00000003-325B-47F9-BD15-5257DAFC2948}"/>
            </c:ext>
          </c:extLst>
        </c:ser>
        <c:ser>
          <c:idx val="4"/>
          <c:order val="4"/>
          <c:tx>
            <c:strRef>
              <c:f>Лист1!$F$1</c:f>
              <c:strCache>
                <c:ptCount val="1"/>
                <c:pt idx="0">
                  <c:v>Obveze za zajmove, depozite i slično</c:v>
                </c:pt>
              </c:strCache>
            </c:strRef>
          </c:tx>
          <c:spPr>
            <a:gradFill>
              <a:gsLst>
                <a:gs pos="0">
                  <a:schemeClr val="dk1">
                    <a:tint val="30000"/>
                  </a:schemeClr>
                </a:gs>
                <a:gs pos="75000">
                  <a:schemeClr val="dk1">
                    <a:tint val="30000"/>
                    <a:lumMod val="60000"/>
                    <a:lumOff val="40000"/>
                  </a:schemeClr>
                </a:gs>
                <a:gs pos="51000">
                  <a:schemeClr val="dk1">
                    <a:tint val="30000"/>
                    <a:alpha val="75000"/>
                  </a:schemeClr>
                </a:gs>
                <a:gs pos="100000">
                  <a:schemeClr val="dk1">
                    <a:tint val="30000"/>
                    <a:lumMod val="20000"/>
                    <a:lumOff val="80000"/>
                    <a:alpha val="15000"/>
                  </a:schemeClr>
                </a:gs>
              </a:gsLst>
              <a:lin ang="5400000" scaled="1"/>
            </a:gradFill>
            <a:ln>
              <a:noFill/>
              <a:round/>
            </a:ln>
            <a:effectLst/>
          </c:spPr>
          <c:invertIfNegative val="0"/>
          <c:cat>
            <c:strRef>
              <c:f>'Лист1'!$A$2:$A$3</c:f>
              <c:strCache>
                <c:ptCount val="2"/>
                <c:pt idx="0">
                  <c:v>2023</c:v>
                </c:pt>
                <c:pt idx="1">
                  <c:v>2024</c:v>
                </c:pt>
              </c:strCache>
            </c:strRef>
          </c:cat>
          <c:val>
            <c:numRef>
              <c:f>'Лист1'!$F$2:$F$3</c:f>
              <c:numCache>
                <c:formatCode>General</c:formatCode>
                <c:ptCount val="2"/>
                <c:pt idx="0">
                  <c:v>0</c:v>
                </c:pt>
                <c:pt idx="1">
                  <c:v>0</c:v>
                </c:pt>
              </c:numCache>
            </c:numRef>
          </c:val>
          <c:extLst>
            <c:ext xmlns:c16="http://schemas.microsoft.com/office/drawing/2014/chart" uri="{C3380CC4-5D6E-409C-BE32-E72D297353CC}">
              <c16:uniqueId val="{00000004-325B-47F9-BD15-5257DAFC2948}"/>
            </c:ext>
          </c:extLst>
        </c:ser>
        <c:ser>
          <c:idx val="5"/>
          <c:order val="5"/>
          <c:tx>
            <c:strRef>
              <c:f>Лист1!$G$1</c:f>
              <c:strCache>
                <c:ptCount val="1"/>
                <c:pt idx="0">
                  <c:v>Obveze prema bankama i drugim financijskim institucijama</c:v>
                </c:pt>
              </c:strCache>
            </c:strRef>
          </c:tx>
          <c:spPr>
            <a:gradFill>
              <a:gsLst>
                <a:gs pos="0">
                  <a:schemeClr val="dk1">
                    <a:tint val="60000"/>
                  </a:schemeClr>
                </a:gs>
                <a:gs pos="75000">
                  <a:schemeClr val="dk1">
                    <a:tint val="60000"/>
                    <a:lumMod val="60000"/>
                    <a:lumOff val="40000"/>
                  </a:schemeClr>
                </a:gs>
                <a:gs pos="51000">
                  <a:schemeClr val="dk1">
                    <a:tint val="60000"/>
                    <a:alpha val="75000"/>
                  </a:schemeClr>
                </a:gs>
                <a:gs pos="100000">
                  <a:schemeClr val="dk1">
                    <a:tint val="60000"/>
                    <a:lumMod val="20000"/>
                    <a:lumOff val="80000"/>
                    <a:alpha val="15000"/>
                  </a:schemeClr>
                </a:gs>
              </a:gsLst>
              <a:lin ang="5400000" scaled="1"/>
            </a:gradFill>
            <a:ln>
              <a:noFill/>
              <a:round/>
            </a:ln>
            <a:effectLst/>
          </c:spPr>
          <c:invertIfNegative val="0"/>
          <c:cat>
            <c:strRef>
              <c:f>'Лист1'!$A$2:$A$3</c:f>
              <c:strCache>
                <c:ptCount val="2"/>
                <c:pt idx="0">
                  <c:v>2023</c:v>
                </c:pt>
                <c:pt idx="1">
                  <c:v>2024</c:v>
                </c:pt>
              </c:strCache>
            </c:strRef>
          </c:cat>
          <c:val>
            <c:numRef>
              <c:f>'Лист1'!$G$2:$G$3</c:f>
              <c:numCache>
                <c:formatCode>General</c:formatCode>
                <c:ptCount val="2"/>
                <c:pt idx="0">
                  <c:v>0</c:v>
                </c:pt>
                <c:pt idx="1">
                  <c:v>0</c:v>
                </c:pt>
              </c:numCache>
            </c:numRef>
          </c:val>
          <c:extLst>
            <c:ext xmlns:c16="http://schemas.microsoft.com/office/drawing/2014/chart" uri="{C3380CC4-5D6E-409C-BE32-E72D297353CC}">
              <c16:uniqueId val="{00000005-325B-47F9-BD15-5257DAFC2948}"/>
            </c:ext>
          </c:extLst>
        </c:ser>
        <c:ser>
          <c:idx val="6"/>
          <c:order val="6"/>
          <c:tx>
            <c:strRef>
              <c:f>Лист1!$H$1</c:f>
              <c:strCache>
                <c:ptCount val="1"/>
                <c:pt idx="0">
                  <c:v>Obveze za predujmove</c:v>
                </c:pt>
              </c:strCache>
            </c:strRef>
          </c:tx>
          <c:spPr>
            <a:gradFill>
              <a:gsLst>
                <a:gs pos="0">
                  <a:schemeClr val="dk1">
                    <a:tint val="80000"/>
                  </a:schemeClr>
                </a:gs>
                <a:gs pos="75000">
                  <a:schemeClr val="dk1">
                    <a:tint val="80000"/>
                    <a:lumMod val="60000"/>
                    <a:lumOff val="40000"/>
                  </a:schemeClr>
                </a:gs>
                <a:gs pos="51000">
                  <a:schemeClr val="dk1">
                    <a:tint val="80000"/>
                    <a:alpha val="75000"/>
                  </a:schemeClr>
                </a:gs>
                <a:gs pos="100000">
                  <a:schemeClr val="dk1">
                    <a:tint val="80000"/>
                    <a:lumMod val="20000"/>
                    <a:lumOff val="80000"/>
                    <a:alpha val="15000"/>
                  </a:schemeClr>
                </a:gs>
              </a:gsLst>
              <a:lin ang="5400000" scaled="1"/>
            </a:gradFill>
            <a:ln>
              <a:noFill/>
              <a:round/>
            </a:ln>
            <a:effectLst/>
          </c:spPr>
          <c:invertIfNegative val="0"/>
          <c:cat>
            <c:strRef>
              <c:f>'Лист1'!$A$2:$A$3</c:f>
              <c:strCache>
                <c:ptCount val="2"/>
                <c:pt idx="0">
                  <c:v>2023</c:v>
                </c:pt>
                <c:pt idx="1">
                  <c:v>2024</c:v>
                </c:pt>
              </c:strCache>
            </c:strRef>
          </c:cat>
          <c:val>
            <c:numRef>
              <c:f>'Лист1'!$H$2:$H$3</c:f>
              <c:numCache>
                <c:formatCode>General</c:formatCode>
                <c:ptCount val="2"/>
                <c:pt idx="0">
                  <c:v>0</c:v>
                </c:pt>
                <c:pt idx="1">
                  <c:v>0</c:v>
                </c:pt>
              </c:numCache>
            </c:numRef>
          </c:val>
          <c:extLst>
            <c:ext xmlns:c16="http://schemas.microsoft.com/office/drawing/2014/chart" uri="{C3380CC4-5D6E-409C-BE32-E72D297353CC}">
              <c16:uniqueId val="{00000006-325B-47F9-BD15-5257DAFC2948}"/>
            </c:ext>
          </c:extLst>
        </c:ser>
        <c:ser>
          <c:idx val="7"/>
          <c:order val="7"/>
          <c:tx>
            <c:strRef>
              <c:f>Лист1!$I$1</c:f>
              <c:strCache>
                <c:ptCount val="1"/>
                <c:pt idx="0">
                  <c:v>Obveze prema dobavljačima</c:v>
                </c:pt>
              </c:strCache>
            </c:strRef>
          </c:tx>
          <c:spPr>
            <a:gradFill>
              <a:gsLst>
                <a:gs pos="0">
                  <a:schemeClr val="dk1">
                    <a:tint val="88500"/>
                  </a:schemeClr>
                </a:gs>
                <a:gs pos="75000">
                  <a:schemeClr val="dk1">
                    <a:tint val="88500"/>
                    <a:lumMod val="60000"/>
                    <a:lumOff val="40000"/>
                  </a:schemeClr>
                </a:gs>
                <a:gs pos="51000">
                  <a:schemeClr val="dk1">
                    <a:tint val="88500"/>
                    <a:alpha val="75000"/>
                  </a:schemeClr>
                </a:gs>
                <a:gs pos="100000">
                  <a:schemeClr val="dk1">
                    <a:tint val="88500"/>
                    <a:lumMod val="20000"/>
                    <a:lumOff val="80000"/>
                    <a:alpha val="15000"/>
                  </a:schemeClr>
                </a:gs>
              </a:gsLst>
              <a:lin ang="5400000" scaled="1"/>
            </a:gradFill>
            <a:ln>
              <a:noFill/>
              <a:round/>
            </a:ln>
            <a:effectLst/>
          </c:spPr>
          <c:invertIfNegative val="0"/>
          <c:cat>
            <c:strRef>
              <c:f>'Лист1'!$A$2:$A$3</c:f>
              <c:strCache>
                <c:ptCount val="2"/>
                <c:pt idx="0">
                  <c:v>2023</c:v>
                </c:pt>
                <c:pt idx="1">
                  <c:v>2024</c:v>
                </c:pt>
              </c:strCache>
            </c:strRef>
          </c:cat>
          <c:val>
            <c:numRef>
              <c:f>'Лист1'!$I$2:$I$3</c:f>
              <c:numCache>
                <c:formatCode>General</c:formatCode>
                <c:ptCount val="2"/>
                <c:pt idx="0">
                  <c:v>0</c:v>
                </c:pt>
                <c:pt idx="1">
                  <c:v>0</c:v>
                </c:pt>
              </c:numCache>
            </c:numRef>
          </c:val>
          <c:extLst>
            <c:ext xmlns:c16="http://schemas.microsoft.com/office/drawing/2014/chart" uri="{C3380CC4-5D6E-409C-BE32-E72D297353CC}">
              <c16:uniqueId val="{00000007-325B-47F9-BD15-5257DAFC2948}"/>
            </c:ext>
          </c:extLst>
        </c:ser>
        <c:ser>
          <c:idx val="8"/>
          <c:order val="8"/>
          <c:tx>
            <c:strRef>
              <c:f>Лист1!$J$1</c:f>
              <c:strCache>
                <c:ptCount val="1"/>
                <c:pt idx="0">
                  <c:v>Obveze po vrijednosnim papirima</c:v>
                </c:pt>
              </c:strCache>
            </c:strRef>
          </c:tx>
          <c:spPr>
            <a:gradFill>
              <a:gsLst>
                <a:gs pos="0">
                  <a:schemeClr val="dk1">
                    <a:tint val="55000"/>
                  </a:schemeClr>
                </a:gs>
                <a:gs pos="75000">
                  <a:schemeClr val="dk1">
                    <a:tint val="55000"/>
                    <a:lumMod val="60000"/>
                    <a:lumOff val="40000"/>
                  </a:schemeClr>
                </a:gs>
                <a:gs pos="51000">
                  <a:schemeClr val="dk1">
                    <a:tint val="55000"/>
                    <a:alpha val="75000"/>
                  </a:schemeClr>
                </a:gs>
                <a:gs pos="100000">
                  <a:schemeClr val="dk1">
                    <a:tint val="55000"/>
                    <a:lumMod val="20000"/>
                    <a:lumOff val="80000"/>
                    <a:alpha val="15000"/>
                  </a:schemeClr>
                </a:gs>
              </a:gsLst>
              <a:lin ang="5400000" scaled="1"/>
            </a:gradFill>
            <a:ln>
              <a:noFill/>
              <a:round/>
            </a:ln>
            <a:effectLst/>
          </c:spPr>
          <c:invertIfNegative val="0"/>
          <c:cat>
            <c:strRef>
              <c:f>'Лист1'!$A$2:$A$3</c:f>
              <c:strCache>
                <c:ptCount val="2"/>
                <c:pt idx="0">
                  <c:v>2023</c:v>
                </c:pt>
                <c:pt idx="1">
                  <c:v>2024</c:v>
                </c:pt>
              </c:strCache>
            </c:strRef>
          </c:cat>
          <c:val>
            <c:numRef>
              <c:f>'Лист1'!$J$2:$J$3</c:f>
              <c:numCache>
                <c:formatCode>General</c:formatCode>
                <c:ptCount val="2"/>
                <c:pt idx="0">
                  <c:v>0</c:v>
                </c:pt>
                <c:pt idx="1">
                  <c:v>0</c:v>
                </c:pt>
              </c:numCache>
            </c:numRef>
          </c:val>
          <c:extLst>
            <c:ext xmlns:c16="http://schemas.microsoft.com/office/drawing/2014/chart" uri="{C3380CC4-5D6E-409C-BE32-E72D297353CC}">
              <c16:uniqueId val="{00000008-325B-47F9-BD15-5257DAFC2948}"/>
            </c:ext>
          </c:extLst>
        </c:ser>
        <c:ser>
          <c:idx val="9"/>
          <c:order val="9"/>
          <c:tx>
            <c:strRef>
              <c:f>Лист1!$K$1</c:f>
              <c:strCache>
                <c:ptCount val="1"/>
                <c:pt idx="0">
                  <c:v>Ostale dugoročne obveze</c:v>
                </c:pt>
              </c:strCache>
            </c:strRef>
          </c:tx>
          <c:spPr>
            <a:gradFill>
              <a:gsLst>
                <a:gs pos="0">
                  <a:schemeClr val="dk1">
                    <a:tint val="75000"/>
                  </a:schemeClr>
                </a:gs>
                <a:gs pos="75000">
                  <a:schemeClr val="dk1">
                    <a:tint val="75000"/>
                    <a:lumMod val="60000"/>
                    <a:lumOff val="40000"/>
                  </a:schemeClr>
                </a:gs>
                <a:gs pos="51000">
                  <a:schemeClr val="dk1">
                    <a:tint val="75000"/>
                    <a:alpha val="75000"/>
                  </a:schemeClr>
                </a:gs>
                <a:gs pos="100000">
                  <a:schemeClr val="dk1">
                    <a:tint val="75000"/>
                    <a:lumMod val="20000"/>
                    <a:lumOff val="80000"/>
                    <a:alpha val="15000"/>
                  </a:schemeClr>
                </a:gs>
              </a:gsLst>
              <a:lin ang="5400000" scaled="1"/>
            </a:gradFill>
            <a:ln>
              <a:noFill/>
              <a:round/>
            </a:ln>
            <a:effectLst/>
          </c:spPr>
          <c:invertIfNegative val="0"/>
          <c:cat>
            <c:strRef>
              <c:f>'Лист1'!$A$2:$A$3</c:f>
              <c:strCache>
                <c:ptCount val="2"/>
                <c:pt idx="0">
                  <c:v>2023</c:v>
                </c:pt>
                <c:pt idx="1">
                  <c:v>2024</c:v>
                </c:pt>
              </c:strCache>
            </c:strRef>
          </c:cat>
          <c:val>
            <c:numRef>
              <c:f>'Лист1'!$K$2:$K$3</c:f>
              <c:numCache>
                <c:formatCode>General</c:formatCode>
                <c:ptCount val="2"/>
                <c:pt idx="0">
                  <c:v>0</c:v>
                </c:pt>
                <c:pt idx="1">
                  <c:v>0</c:v>
                </c:pt>
              </c:numCache>
            </c:numRef>
          </c:val>
          <c:extLst>
            <c:ext xmlns:c16="http://schemas.microsoft.com/office/drawing/2014/chart" uri="{C3380CC4-5D6E-409C-BE32-E72D297353CC}">
              <c16:uniqueId val="{00000009-325B-47F9-BD15-5257DAFC2948}"/>
            </c:ext>
          </c:extLst>
        </c:ser>
        <c:ser>
          <c:idx val="10"/>
          <c:order val="10"/>
          <c:tx>
            <c:strRef>
              <c:f>Лист1!$L$1</c:f>
              <c:strCache>
                <c:ptCount val="1"/>
                <c:pt idx="0">
                  <c:v>Odgođena porezna obveza</c:v>
                </c:pt>
              </c:strCache>
            </c:strRef>
          </c:tx>
          <c:spPr>
            <a:gradFill>
              <a:gsLst>
                <a:gs pos="0">
                  <a:schemeClr val="dk1">
                    <a:tint val="98500"/>
                  </a:schemeClr>
                </a:gs>
                <a:gs pos="75000">
                  <a:schemeClr val="dk1">
                    <a:tint val="98500"/>
                    <a:lumMod val="60000"/>
                    <a:lumOff val="40000"/>
                  </a:schemeClr>
                </a:gs>
                <a:gs pos="51000">
                  <a:schemeClr val="dk1">
                    <a:tint val="98500"/>
                    <a:alpha val="75000"/>
                  </a:schemeClr>
                </a:gs>
                <a:gs pos="100000">
                  <a:schemeClr val="dk1">
                    <a:tint val="98500"/>
                    <a:lumMod val="20000"/>
                    <a:lumOff val="80000"/>
                    <a:alpha val="15000"/>
                  </a:schemeClr>
                </a:gs>
              </a:gsLst>
              <a:lin ang="5400000" scaled="1"/>
            </a:gradFill>
            <a:ln>
              <a:noFill/>
              <a:round/>
            </a:ln>
            <a:effectLst/>
          </c:spPr>
          <c:invertIfNegative val="0"/>
          <c:cat>
            <c:strRef>
              <c:f>'Лист1'!$A$2:$A$3</c:f>
              <c:strCache>
                <c:ptCount val="2"/>
                <c:pt idx="0">
                  <c:v>2023</c:v>
                </c:pt>
                <c:pt idx="1">
                  <c:v>2024</c:v>
                </c:pt>
              </c:strCache>
            </c:strRef>
          </c:cat>
          <c:val>
            <c:numRef>
              <c:f>'Лист1'!$L$2:$L$3</c:f>
              <c:numCache>
                <c:formatCode>General</c:formatCode>
                <c:ptCount val="2"/>
                <c:pt idx="0">
                  <c:v>0</c:v>
                </c:pt>
                <c:pt idx="1">
                  <c:v>0</c:v>
                </c:pt>
              </c:numCache>
            </c:numRef>
          </c:val>
          <c:extLst>
            <c:ext xmlns:c16="http://schemas.microsoft.com/office/drawing/2014/chart" uri="{C3380CC4-5D6E-409C-BE32-E72D297353CC}">
              <c16:uniqueId val="{0000000A-325B-47F9-BD15-5257DAFC2948}"/>
            </c:ext>
          </c:extLst>
        </c:ser>
        <c:dLbls>
          <c:showLegendKey val="0"/>
          <c:showVal val="0"/>
          <c:showCatName val="0"/>
          <c:showSerName val="0"/>
          <c:showPercent val="0"/>
          <c:showBubbleSize val="0"/>
        </c:dLbls>
        <c:gapWidth val="355"/>
        <c:overlap val="-70"/>
        <c:axId val="-1112883216"/>
        <c:axId val="-1112880896"/>
      </c:barChart>
      <c:catAx>
        <c:axId val="-1112883216"/>
        <c:scaling>
          <c:orientation val="minMax"/>
        </c:scaling>
        <c:delete val="0"/>
        <c:axPos val="b"/>
        <c:numFmt formatCode="General" sourceLinked="1"/>
        <c:majorTickMark val="none"/>
        <c:minorTickMark val="none"/>
        <c:tickLblPos val="nextTo"/>
        <c:spPr>
          <a:ln w="9525">
            <a:solidFill>
              <a:srgbClr val="D9D9D9"/>
            </a:solidFill>
            <a:prstDash val="solid"/>
            <a:round/>
          </a:ln>
        </c:spPr>
        <c:txPr>
          <a:bodyPr/>
          <a:lstStyle/>
          <a:p>
            <a:pPr algn="ctr">
              <a:defRPr sz="900" baseline="0">
                <a:solidFill>
                  <a:srgbClr val="595959"/>
                </a:solidFill>
                <a:latin typeface="Times New Roman"/>
                <a:ea typeface="Times New Roman"/>
                <a:cs typeface="Times New Roman"/>
              </a:defRPr>
            </a:pPr>
            <a:endParaRPr lang="sr-Latn-RS"/>
          </a:p>
        </c:txPr>
        <c:crossAx val="-1112880896"/>
        <c:crosses val="autoZero"/>
        <c:auto val="1"/>
        <c:lblAlgn val="ctr"/>
        <c:lblOffset val="100"/>
        <c:noMultiLvlLbl val="0"/>
      </c:catAx>
      <c:valAx>
        <c:axId val="-1112880896"/>
        <c:scaling>
          <c:orientation val="minMax"/>
        </c:scaling>
        <c:delete val="0"/>
        <c:axPos val="l"/>
        <c:majorGridlines>
          <c:spPr>
            <a:ln w="9525">
              <a:gradFill>
                <a:gsLst>
                  <a:gs pos="100000">
                    <a:schemeClr val="tx1">
                      <a:lumMod val="5000"/>
                      <a:lumOff val="95000"/>
                    </a:schemeClr>
                  </a:gs>
                  <a:gs pos="0">
                    <a:schemeClr val="tx1">
                      <a:lumMod val="25000"/>
                      <a:lumOff val="75000"/>
                    </a:schemeClr>
                  </a:gs>
                </a:gsLst>
                <a:lin ang="5400000" scaled="1"/>
              </a:gradFill>
              <a:round/>
            </a:ln>
          </c:spPr>
        </c:majorGridlines>
        <c:numFmt formatCode="General" sourceLinked="1"/>
        <c:majorTickMark val="none"/>
        <c:minorTickMark val="none"/>
        <c:tickLblPos val="nextTo"/>
        <c:spPr>
          <a:ln>
            <a:noFill/>
            <a:round/>
          </a:ln>
        </c:spPr>
        <c:txPr>
          <a:bodyPr/>
          <a:lstStyle/>
          <a:p>
            <a:pPr algn="ctr">
              <a:defRPr sz="900" baseline="0">
                <a:solidFill>
                  <a:srgbClr val="595959"/>
                </a:solidFill>
                <a:latin typeface="Times New Roman"/>
                <a:ea typeface="Times New Roman"/>
                <a:cs typeface="Times New Roman"/>
              </a:defRPr>
            </a:pPr>
            <a:endParaRPr lang="sr-Latn-RS"/>
          </a:p>
        </c:txPr>
        <c:crossAx val="-1112883216"/>
        <c:crosses val="autoZero"/>
        <c:crossBetween val="between"/>
      </c:valAx>
      <c:spPr>
        <a:noFill/>
        <a:ln>
          <a:noFill/>
          <a:round/>
        </a:ln>
        <a:effectLst/>
      </c:spPr>
    </c:plotArea>
    <c:legend>
      <c:legendPos val="b"/>
      <c:overlay val="0"/>
      <c:spPr>
        <a:noFill/>
        <a:ln>
          <a:noFill/>
          <a:round/>
        </a:ln>
        <a:effectLst/>
      </c:spPr>
      <c:txPr>
        <a:bodyPr/>
        <a:lstStyle/>
        <a:p>
          <a:pPr>
            <a:defRPr sz="900" b="0" baseline="0">
              <a:solidFill>
                <a:srgbClr val="595959"/>
              </a:solidFill>
              <a:latin typeface="Times New Roman"/>
              <a:ea typeface="Times New Roman"/>
              <a:cs typeface="Times New Roman"/>
            </a:defRPr>
          </a:pPr>
          <a:endParaRPr lang="sr-Latn-RS"/>
        </a:p>
      </c:txPr>
    </c:legend>
    <c:plotVisOnly val="1"/>
    <c:dispBlanksAs val="gap"/>
    <c:showDLblsOverMax val="1"/>
  </c:chart>
  <c:spPr>
    <a:solidFill>
      <a:srgbClr val="FFFFFF"/>
    </a:solidFill>
    <a:ln w="9525">
      <a:noFill/>
      <a:round/>
    </a:ln>
    <a:effectLst/>
  </c:spPr>
  <c:txPr>
    <a:bodyPr/>
    <a:lstStyle/>
    <a:p>
      <a:pPr>
        <a:defRPr>
          <a:latin typeface="Times New Roman" panose="02020603050405020304" pitchFamily="18" charset="0"/>
          <a:cs typeface="Times New Roman" panose="02020603050405020304" pitchFamily="18" charset="0"/>
        </a:defRPr>
      </a:pPr>
      <a:endParaRPr lang="en-H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manualLayout>
          <c:layoutTarget val="inner"/>
          <c:xMode val="edge"/>
          <c:yMode val="edge"/>
          <c:x val="7.1806041941914603E-2"/>
          <c:y val="0.53358803776350905"/>
          <c:w val="0.89943607729268304"/>
          <c:h val="0.4055423970191"/>
        </c:manualLayout>
      </c:layout>
      <c:barChart>
        <c:barDir val="col"/>
        <c:grouping val="clustered"/>
        <c:varyColors val="0"/>
        <c:ser>
          <c:idx val="0"/>
          <c:order val="0"/>
          <c:tx>
            <c:strRef>
              <c:f>Лист1!$B$1</c:f>
              <c:strCache>
                <c:ptCount val="1"/>
                <c:pt idx="0">
                  <c:v>Obveze prema poduzetnicima unutar grupe</c:v>
                </c:pt>
              </c:strCache>
            </c:strRef>
          </c:tx>
          <c:spPr>
            <a:gradFill>
              <a:gsLst>
                <a:gs pos="0">
                  <a:schemeClr val="dk1">
                    <a:tint val="88500"/>
                  </a:schemeClr>
                </a:gs>
                <a:gs pos="75000">
                  <a:schemeClr val="dk1">
                    <a:tint val="88500"/>
                    <a:lumMod val="60000"/>
                    <a:lumOff val="40000"/>
                  </a:schemeClr>
                </a:gs>
                <a:gs pos="51000">
                  <a:schemeClr val="dk1">
                    <a:tint val="88500"/>
                    <a:alpha val="75000"/>
                  </a:schemeClr>
                </a:gs>
                <a:gs pos="100000">
                  <a:schemeClr val="dk1">
                    <a:tint val="88500"/>
                    <a:lumMod val="20000"/>
                    <a:lumOff val="80000"/>
                    <a:alpha val="15000"/>
                  </a:schemeClr>
                </a:gs>
              </a:gsLst>
              <a:lin ang="5400000" scaled="1"/>
            </a:gradFill>
            <a:ln>
              <a:noFill/>
              <a:round/>
            </a:ln>
            <a:effectLst/>
          </c:spPr>
          <c:invertIfNegative val="0"/>
          <c:cat>
            <c:strRef>
              <c:f>'Лист1'!$A$2:$A$3</c:f>
              <c:strCache>
                <c:ptCount val="2"/>
                <c:pt idx="0">
                  <c:v>2023</c:v>
                </c:pt>
                <c:pt idx="1">
                  <c:v>2024</c:v>
                </c:pt>
              </c:strCache>
            </c:strRef>
          </c:cat>
          <c:val>
            <c:numRef>
              <c:f>'Лист1'!$B$2:$B$3</c:f>
              <c:numCache>
                <c:formatCode>General</c:formatCode>
                <c:ptCount val="2"/>
                <c:pt idx="0">
                  <c:v>0</c:v>
                </c:pt>
                <c:pt idx="1">
                  <c:v>0</c:v>
                </c:pt>
              </c:numCache>
            </c:numRef>
          </c:val>
          <c:extLst>
            <c:ext xmlns:c16="http://schemas.microsoft.com/office/drawing/2014/chart" uri="{C3380CC4-5D6E-409C-BE32-E72D297353CC}">
              <c16:uniqueId val="{00000000-7115-4B7C-9EE3-1683BB247D26}"/>
            </c:ext>
          </c:extLst>
        </c:ser>
        <c:ser>
          <c:idx val="1"/>
          <c:order val="1"/>
          <c:tx>
            <c:strRef>
              <c:f>Лист1!$C$1</c:f>
              <c:strCache>
                <c:ptCount val="1"/>
                <c:pt idx="0">
                  <c:v>Obveze za zajmove, depozite i slično poduzetnika unutar grupe</c:v>
                </c:pt>
              </c:strCache>
            </c:strRef>
          </c:tx>
          <c:spPr>
            <a:gradFill>
              <a:gsLst>
                <a:gs pos="0">
                  <a:schemeClr val="dk1">
                    <a:tint val="55000"/>
                  </a:schemeClr>
                </a:gs>
                <a:gs pos="75000">
                  <a:schemeClr val="dk1">
                    <a:tint val="55000"/>
                    <a:lumMod val="60000"/>
                    <a:lumOff val="40000"/>
                  </a:schemeClr>
                </a:gs>
                <a:gs pos="51000">
                  <a:schemeClr val="dk1">
                    <a:tint val="55000"/>
                    <a:alpha val="75000"/>
                  </a:schemeClr>
                </a:gs>
                <a:gs pos="100000">
                  <a:schemeClr val="dk1">
                    <a:tint val="55000"/>
                    <a:lumMod val="20000"/>
                    <a:lumOff val="80000"/>
                    <a:alpha val="15000"/>
                  </a:schemeClr>
                </a:gs>
              </a:gsLst>
              <a:lin ang="5400000" scaled="1"/>
            </a:gradFill>
            <a:ln>
              <a:noFill/>
              <a:round/>
            </a:ln>
            <a:effectLst/>
          </c:spPr>
          <c:invertIfNegative val="0"/>
          <c:cat>
            <c:strRef>
              <c:f>'Лист1'!$A$2:$A$3</c:f>
              <c:strCache>
                <c:ptCount val="2"/>
                <c:pt idx="0">
                  <c:v>2023</c:v>
                </c:pt>
                <c:pt idx="1">
                  <c:v>2024</c:v>
                </c:pt>
              </c:strCache>
            </c:strRef>
          </c:cat>
          <c:val>
            <c:numRef>
              <c:f>'Лист1'!$C$2:$C$3</c:f>
              <c:numCache>
                <c:formatCode>General</c:formatCode>
                <c:ptCount val="2"/>
                <c:pt idx="0">
                  <c:v>0</c:v>
                </c:pt>
                <c:pt idx="1">
                  <c:v>0</c:v>
                </c:pt>
              </c:numCache>
            </c:numRef>
          </c:val>
          <c:extLst>
            <c:ext xmlns:c16="http://schemas.microsoft.com/office/drawing/2014/chart" uri="{C3380CC4-5D6E-409C-BE32-E72D297353CC}">
              <c16:uniqueId val="{00000001-7115-4B7C-9EE3-1683BB247D26}"/>
            </c:ext>
          </c:extLst>
        </c:ser>
        <c:ser>
          <c:idx val="2"/>
          <c:order val="2"/>
          <c:tx>
            <c:strRef>
              <c:f>Лист1!$D$1</c:f>
              <c:strCache>
                <c:ptCount val="1"/>
                <c:pt idx="0">
                  <c:v>Obveze prema društvima povezanim sudjelujućim interesom</c:v>
                </c:pt>
              </c:strCache>
            </c:strRef>
          </c:tx>
          <c:spPr>
            <a:gradFill>
              <a:gsLst>
                <a:gs pos="0">
                  <a:schemeClr val="dk1">
                    <a:tint val="75000"/>
                  </a:schemeClr>
                </a:gs>
                <a:gs pos="75000">
                  <a:schemeClr val="dk1">
                    <a:tint val="75000"/>
                    <a:lumMod val="60000"/>
                    <a:lumOff val="40000"/>
                  </a:schemeClr>
                </a:gs>
                <a:gs pos="51000">
                  <a:schemeClr val="dk1">
                    <a:tint val="75000"/>
                    <a:alpha val="75000"/>
                  </a:schemeClr>
                </a:gs>
                <a:gs pos="100000">
                  <a:schemeClr val="dk1">
                    <a:tint val="75000"/>
                    <a:lumMod val="20000"/>
                    <a:lumOff val="80000"/>
                    <a:alpha val="15000"/>
                  </a:schemeClr>
                </a:gs>
              </a:gsLst>
              <a:lin ang="5400000" scaled="1"/>
            </a:gradFill>
            <a:ln>
              <a:noFill/>
              <a:round/>
            </a:ln>
            <a:effectLst/>
          </c:spPr>
          <c:invertIfNegative val="0"/>
          <c:cat>
            <c:strRef>
              <c:f>'Лист1'!$A$2:$A$3</c:f>
              <c:strCache>
                <c:ptCount val="2"/>
                <c:pt idx="0">
                  <c:v>2023</c:v>
                </c:pt>
                <c:pt idx="1">
                  <c:v>2024</c:v>
                </c:pt>
              </c:strCache>
            </c:strRef>
          </c:cat>
          <c:val>
            <c:numRef>
              <c:f>'Лист1'!$D$2:$D$3</c:f>
              <c:numCache>
                <c:formatCode>General</c:formatCode>
                <c:ptCount val="2"/>
                <c:pt idx="0">
                  <c:v>0</c:v>
                </c:pt>
                <c:pt idx="1">
                  <c:v>0</c:v>
                </c:pt>
              </c:numCache>
            </c:numRef>
          </c:val>
          <c:extLst>
            <c:ext xmlns:c16="http://schemas.microsoft.com/office/drawing/2014/chart" uri="{C3380CC4-5D6E-409C-BE32-E72D297353CC}">
              <c16:uniqueId val="{00000002-7115-4B7C-9EE3-1683BB247D26}"/>
            </c:ext>
          </c:extLst>
        </c:ser>
        <c:ser>
          <c:idx val="3"/>
          <c:order val="3"/>
          <c:tx>
            <c:strRef>
              <c:f>Лист1!$E$1</c:f>
              <c:strCache>
                <c:ptCount val="1"/>
                <c:pt idx="0">
                  <c:v>Obveze za zajmove, depozite i slično društava povezanih sudjelujućim interesom</c:v>
                </c:pt>
              </c:strCache>
            </c:strRef>
          </c:tx>
          <c:spPr>
            <a:gradFill>
              <a:gsLst>
                <a:gs pos="0">
                  <a:schemeClr val="dk1">
                    <a:tint val="98500"/>
                  </a:schemeClr>
                </a:gs>
                <a:gs pos="75000">
                  <a:schemeClr val="dk1">
                    <a:tint val="98500"/>
                    <a:lumMod val="60000"/>
                    <a:lumOff val="40000"/>
                  </a:schemeClr>
                </a:gs>
                <a:gs pos="51000">
                  <a:schemeClr val="dk1">
                    <a:tint val="98500"/>
                    <a:alpha val="75000"/>
                  </a:schemeClr>
                </a:gs>
                <a:gs pos="100000">
                  <a:schemeClr val="dk1">
                    <a:tint val="98500"/>
                    <a:lumMod val="20000"/>
                    <a:lumOff val="80000"/>
                    <a:alpha val="15000"/>
                  </a:schemeClr>
                </a:gs>
              </a:gsLst>
              <a:lin ang="5400000" scaled="1"/>
            </a:gradFill>
            <a:ln>
              <a:noFill/>
              <a:round/>
            </a:ln>
            <a:effectLst/>
          </c:spPr>
          <c:invertIfNegative val="0"/>
          <c:cat>
            <c:strRef>
              <c:f>'Лист1'!$A$2:$A$3</c:f>
              <c:strCache>
                <c:ptCount val="2"/>
                <c:pt idx="0">
                  <c:v>2023</c:v>
                </c:pt>
                <c:pt idx="1">
                  <c:v>2024</c:v>
                </c:pt>
              </c:strCache>
            </c:strRef>
          </c:cat>
          <c:val>
            <c:numRef>
              <c:f>'Лист1'!$E$2:$E$3</c:f>
              <c:numCache>
                <c:formatCode>General</c:formatCode>
                <c:ptCount val="2"/>
                <c:pt idx="0">
                  <c:v>0</c:v>
                </c:pt>
                <c:pt idx="1">
                  <c:v>0</c:v>
                </c:pt>
              </c:numCache>
            </c:numRef>
          </c:val>
          <c:extLst>
            <c:ext xmlns:c16="http://schemas.microsoft.com/office/drawing/2014/chart" uri="{C3380CC4-5D6E-409C-BE32-E72D297353CC}">
              <c16:uniqueId val="{00000003-7115-4B7C-9EE3-1683BB247D26}"/>
            </c:ext>
          </c:extLst>
        </c:ser>
        <c:ser>
          <c:idx val="4"/>
          <c:order val="4"/>
          <c:tx>
            <c:strRef>
              <c:f>Лист1!$F$1</c:f>
              <c:strCache>
                <c:ptCount val="1"/>
                <c:pt idx="0">
                  <c:v>Obveze za zajmove, depozite i slično</c:v>
                </c:pt>
              </c:strCache>
            </c:strRef>
          </c:tx>
          <c:spPr>
            <a:gradFill>
              <a:gsLst>
                <a:gs pos="0">
                  <a:schemeClr val="dk1">
                    <a:tint val="30000"/>
                  </a:schemeClr>
                </a:gs>
                <a:gs pos="75000">
                  <a:schemeClr val="dk1">
                    <a:tint val="30000"/>
                    <a:lumMod val="60000"/>
                    <a:lumOff val="40000"/>
                  </a:schemeClr>
                </a:gs>
                <a:gs pos="51000">
                  <a:schemeClr val="dk1">
                    <a:tint val="30000"/>
                    <a:alpha val="75000"/>
                  </a:schemeClr>
                </a:gs>
                <a:gs pos="100000">
                  <a:schemeClr val="dk1">
                    <a:tint val="30000"/>
                    <a:lumMod val="20000"/>
                    <a:lumOff val="80000"/>
                    <a:alpha val="15000"/>
                  </a:schemeClr>
                </a:gs>
              </a:gsLst>
              <a:lin ang="5400000" scaled="1"/>
            </a:gradFill>
            <a:ln>
              <a:noFill/>
              <a:round/>
            </a:ln>
            <a:effectLst/>
          </c:spPr>
          <c:invertIfNegative val="0"/>
          <c:cat>
            <c:strRef>
              <c:f>'Лист1'!$A$2:$A$3</c:f>
              <c:strCache>
                <c:ptCount val="2"/>
                <c:pt idx="0">
                  <c:v>2023</c:v>
                </c:pt>
                <c:pt idx="1">
                  <c:v>2024</c:v>
                </c:pt>
              </c:strCache>
            </c:strRef>
          </c:cat>
          <c:val>
            <c:numRef>
              <c:f>'Лист1'!$F$2:$F$3</c:f>
              <c:numCache>
                <c:formatCode>General</c:formatCode>
                <c:ptCount val="2"/>
                <c:pt idx="0">
                  <c:v>0</c:v>
                </c:pt>
                <c:pt idx="1">
                  <c:v>0</c:v>
                </c:pt>
              </c:numCache>
            </c:numRef>
          </c:val>
          <c:extLst>
            <c:ext xmlns:c16="http://schemas.microsoft.com/office/drawing/2014/chart" uri="{C3380CC4-5D6E-409C-BE32-E72D297353CC}">
              <c16:uniqueId val="{00000004-7115-4B7C-9EE3-1683BB247D26}"/>
            </c:ext>
          </c:extLst>
        </c:ser>
        <c:ser>
          <c:idx val="5"/>
          <c:order val="5"/>
          <c:tx>
            <c:strRef>
              <c:f>Лист1!$G$1</c:f>
              <c:strCache>
                <c:ptCount val="1"/>
                <c:pt idx="0">
                  <c:v>Obveze prema bankama i drugim financijskim institucijama</c:v>
                </c:pt>
              </c:strCache>
            </c:strRef>
          </c:tx>
          <c:spPr>
            <a:gradFill>
              <a:gsLst>
                <a:gs pos="0">
                  <a:schemeClr val="dk1">
                    <a:tint val="60000"/>
                  </a:schemeClr>
                </a:gs>
                <a:gs pos="75000">
                  <a:schemeClr val="dk1">
                    <a:tint val="60000"/>
                    <a:lumMod val="60000"/>
                    <a:lumOff val="40000"/>
                  </a:schemeClr>
                </a:gs>
                <a:gs pos="51000">
                  <a:schemeClr val="dk1">
                    <a:tint val="60000"/>
                    <a:alpha val="75000"/>
                  </a:schemeClr>
                </a:gs>
                <a:gs pos="100000">
                  <a:schemeClr val="dk1">
                    <a:tint val="60000"/>
                    <a:lumMod val="20000"/>
                    <a:lumOff val="80000"/>
                    <a:alpha val="15000"/>
                  </a:schemeClr>
                </a:gs>
              </a:gsLst>
              <a:lin ang="5400000" scaled="1"/>
            </a:gradFill>
            <a:ln>
              <a:noFill/>
              <a:round/>
            </a:ln>
            <a:effectLst/>
          </c:spPr>
          <c:invertIfNegative val="0"/>
          <c:cat>
            <c:strRef>
              <c:f>'Лист1'!$A$2:$A$3</c:f>
              <c:strCache>
                <c:ptCount val="2"/>
                <c:pt idx="0">
                  <c:v>2023</c:v>
                </c:pt>
                <c:pt idx="1">
                  <c:v>2024</c:v>
                </c:pt>
              </c:strCache>
            </c:strRef>
          </c:cat>
          <c:val>
            <c:numRef>
              <c:f>'Лист1'!$G$2:$G$3</c:f>
              <c:numCache>
                <c:formatCode>General</c:formatCode>
                <c:ptCount val="2"/>
                <c:pt idx="0">
                  <c:v>0</c:v>
                </c:pt>
                <c:pt idx="1">
                  <c:v>0</c:v>
                </c:pt>
              </c:numCache>
            </c:numRef>
          </c:val>
          <c:extLst>
            <c:ext xmlns:c16="http://schemas.microsoft.com/office/drawing/2014/chart" uri="{C3380CC4-5D6E-409C-BE32-E72D297353CC}">
              <c16:uniqueId val="{00000005-7115-4B7C-9EE3-1683BB247D26}"/>
            </c:ext>
          </c:extLst>
        </c:ser>
        <c:ser>
          <c:idx val="6"/>
          <c:order val="6"/>
          <c:tx>
            <c:strRef>
              <c:f>Лист1!$H$1</c:f>
              <c:strCache>
                <c:ptCount val="1"/>
                <c:pt idx="0">
                  <c:v>Obveze za predujmove</c:v>
                </c:pt>
              </c:strCache>
            </c:strRef>
          </c:tx>
          <c:spPr>
            <a:gradFill>
              <a:gsLst>
                <a:gs pos="0">
                  <a:schemeClr val="dk1">
                    <a:tint val="80000"/>
                  </a:schemeClr>
                </a:gs>
                <a:gs pos="75000">
                  <a:schemeClr val="dk1">
                    <a:tint val="80000"/>
                    <a:lumMod val="60000"/>
                    <a:lumOff val="40000"/>
                  </a:schemeClr>
                </a:gs>
                <a:gs pos="51000">
                  <a:schemeClr val="dk1">
                    <a:tint val="80000"/>
                    <a:alpha val="75000"/>
                  </a:schemeClr>
                </a:gs>
                <a:gs pos="100000">
                  <a:schemeClr val="dk1">
                    <a:tint val="80000"/>
                    <a:lumMod val="20000"/>
                    <a:lumOff val="80000"/>
                    <a:alpha val="15000"/>
                  </a:schemeClr>
                </a:gs>
              </a:gsLst>
              <a:lin ang="5400000" scaled="1"/>
            </a:gradFill>
            <a:ln>
              <a:noFill/>
              <a:round/>
            </a:ln>
            <a:effectLst/>
          </c:spPr>
          <c:invertIfNegative val="0"/>
          <c:cat>
            <c:strRef>
              <c:f>'Лист1'!$A$2:$A$3</c:f>
              <c:strCache>
                <c:ptCount val="2"/>
                <c:pt idx="0">
                  <c:v>2023</c:v>
                </c:pt>
                <c:pt idx="1">
                  <c:v>2024</c:v>
                </c:pt>
              </c:strCache>
            </c:strRef>
          </c:cat>
          <c:val>
            <c:numRef>
              <c:f>'Лист1'!$H$2:$H$3</c:f>
              <c:numCache>
                <c:formatCode>General</c:formatCode>
                <c:ptCount val="2"/>
                <c:pt idx="0">
                  <c:v>0</c:v>
                </c:pt>
                <c:pt idx="1">
                  <c:v>0</c:v>
                </c:pt>
              </c:numCache>
            </c:numRef>
          </c:val>
          <c:extLst>
            <c:ext xmlns:c16="http://schemas.microsoft.com/office/drawing/2014/chart" uri="{C3380CC4-5D6E-409C-BE32-E72D297353CC}">
              <c16:uniqueId val="{00000006-7115-4B7C-9EE3-1683BB247D26}"/>
            </c:ext>
          </c:extLst>
        </c:ser>
        <c:ser>
          <c:idx val="7"/>
          <c:order val="7"/>
          <c:tx>
            <c:strRef>
              <c:f>Лист1!$I$1</c:f>
              <c:strCache>
                <c:ptCount val="1"/>
                <c:pt idx="0">
                  <c:v>Obveze prema dobavljačima</c:v>
                </c:pt>
              </c:strCache>
            </c:strRef>
          </c:tx>
          <c:spPr>
            <a:gradFill>
              <a:gsLst>
                <a:gs pos="0">
                  <a:schemeClr val="dk1">
                    <a:tint val="88500"/>
                  </a:schemeClr>
                </a:gs>
                <a:gs pos="75000">
                  <a:schemeClr val="dk1">
                    <a:tint val="88500"/>
                    <a:lumMod val="60000"/>
                    <a:lumOff val="40000"/>
                  </a:schemeClr>
                </a:gs>
                <a:gs pos="51000">
                  <a:schemeClr val="dk1">
                    <a:tint val="88500"/>
                    <a:alpha val="75000"/>
                  </a:schemeClr>
                </a:gs>
                <a:gs pos="100000">
                  <a:schemeClr val="dk1">
                    <a:tint val="88500"/>
                    <a:lumMod val="20000"/>
                    <a:lumOff val="80000"/>
                    <a:alpha val="15000"/>
                  </a:schemeClr>
                </a:gs>
              </a:gsLst>
              <a:lin ang="5400000" scaled="1"/>
            </a:gradFill>
            <a:ln>
              <a:noFill/>
              <a:round/>
            </a:ln>
            <a:effectLst/>
          </c:spPr>
          <c:invertIfNegative val="0"/>
          <c:cat>
            <c:strRef>
              <c:f>'Лист1'!$A$2:$A$3</c:f>
              <c:strCache>
                <c:ptCount val="2"/>
                <c:pt idx="0">
                  <c:v>2023</c:v>
                </c:pt>
                <c:pt idx="1">
                  <c:v>2024</c:v>
                </c:pt>
              </c:strCache>
            </c:strRef>
          </c:cat>
          <c:val>
            <c:numRef>
              <c:f>'Лист1'!$I$2:$I$3</c:f>
              <c:numCache>
                <c:formatCode>General</c:formatCode>
                <c:ptCount val="2"/>
                <c:pt idx="0">
                  <c:v>2169.2600000000002</c:v>
                </c:pt>
                <c:pt idx="1">
                  <c:v>4938.17</c:v>
                </c:pt>
              </c:numCache>
            </c:numRef>
          </c:val>
          <c:extLst>
            <c:ext xmlns:c16="http://schemas.microsoft.com/office/drawing/2014/chart" uri="{C3380CC4-5D6E-409C-BE32-E72D297353CC}">
              <c16:uniqueId val="{00000007-7115-4B7C-9EE3-1683BB247D26}"/>
            </c:ext>
          </c:extLst>
        </c:ser>
        <c:ser>
          <c:idx val="8"/>
          <c:order val="8"/>
          <c:tx>
            <c:strRef>
              <c:f>Лист1!$J$1</c:f>
              <c:strCache>
                <c:ptCount val="1"/>
                <c:pt idx="0">
                  <c:v>Obveze po vrijednosnim papirima</c:v>
                </c:pt>
              </c:strCache>
            </c:strRef>
          </c:tx>
          <c:spPr>
            <a:gradFill>
              <a:gsLst>
                <a:gs pos="0">
                  <a:schemeClr val="dk1">
                    <a:tint val="55000"/>
                  </a:schemeClr>
                </a:gs>
                <a:gs pos="75000">
                  <a:schemeClr val="dk1">
                    <a:tint val="55000"/>
                    <a:lumMod val="60000"/>
                    <a:lumOff val="40000"/>
                  </a:schemeClr>
                </a:gs>
                <a:gs pos="51000">
                  <a:schemeClr val="dk1">
                    <a:tint val="55000"/>
                    <a:alpha val="75000"/>
                  </a:schemeClr>
                </a:gs>
                <a:gs pos="100000">
                  <a:schemeClr val="dk1">
                    <a:tint val="55000"/>
                    <a:lumMod val="20000"/>
                    <a:lumOff val="80000"/>
                    <a:alpha val="15000"/>
                  </a:schemeClr>
                </a:gs>
              </a:gsLst>
              <a:lin ang="5400000" scaled="1"/>
            </a:gradFill>
            <a:ln>
              <a:noFill/>
              <a:round/>
            </a:ln>
            <a:effectLst/>
          </c:spPr>
          <c:invertIfNegative val="0"/>
          <c:cat>
            <c:strRef>
              <c:f>'Лист1'!$A$2:$A$3</c:f>
              <c:strCache>
                <c:ptCount val="2"/>
                <c:pt idx="0">
                  <c:v>2023</c:v>
                </c:pt>
                <c:pt idx="1">
                  <c:v>2024</c:v>
                </c:pt>
              </c:strCache>
            </c:strRef>
          </c:cat>
          <c:val>
            <c:numRef>
              <c:f>'Лист1'!$J$2:$J$3</c:f>
              <c:numCache>
                <c:formatCode>General</c:formatCode>
                <c:ptCount val="2"/>
                <c:pt idx="0">
                  <c:v>0</c:v>
                </c:pt>
                <c:pt idx="1">
                  <c:v>0</c:v>
                </c:pt>
              </c:numCache>
            </c:numRef>
          </c:val>
          <c:extLst>
            <c:ext xmlns:c16="http://schemas.microsoft.com/office/drawing/2014/chart" uri="{C3380CC4-5D6E-409C-BE32-E72D297353CC}">
              <c16:uniqueId val="{00000008-7115-4B7C-9EE3-1683BB247D26}"/>
            </c:ext>
          </c:extLst>
        </c:ser>
        <c:ser>
          <c:idx val="9"/>
          <c:order val="9"/>
          <c:tx>
            <c:strRef>
              <c:f>Лист1!$K$1</c:f>
              <c:strCache>
                <c:ptCount val="1"/>
                <c:pt idx="0">
                  <c:v>Obveze prema zaposlenicima</c:v>
                </c:pt>
              </c:strCache>
            </c:strRef>
          </c:tx>
          <c:spPr>
            <a:gradFill>
              <a:gsLst>
                <a:gs pos="0">
                  <a:schemeClr val="dk1">
                    <a:tint val="75000"/>
                  </a:schemeClr>
                </a:gs>
                <a:gs pos="75000">
                  <a:schemeClr val="dk1">
                    <a:tint val="75000"/>
                    <a:lumMod val="60000"/>
                    <a:lumOff val="40000"/>
                  </a:schemeClr>
                </a:gs>
                <a:gs pos="51000">
                  <a:schemeClr val="dk1">
                    <a:tint val="75000"/>
                    <a:alpha val="75000"/>
                  </a:schemeClr>
                </a:gs>
                <a:gs pos="100000">
                  <a:schemeClr val="dk1">
                    <a:tint val="75000"/>
                    <a:lumMod val="20000"/>
                    <a:lumOff val="80000"/>
                    <a:alpha val="15000"/>
                  </a:schemeClr>
                </a:gs>
              </a:gsLst>
              <a:lin ang="5400000" scaled="1"/>
            </a:gradFill>
            <a:ln>
              <a:noFill/>
              <a:round/>
            </a:ln>
            <a:effectLst/>
          </c:spPr>
          <c:invertIfNegative val="0"/>
          <c:cat>
            <c:strRef>
              <c:f>'Лист1'!$A$2:$A$3</c:f>
              <c:strCache>
                <c:ptCount val="2"/>
                <c:pt idx="0">
                  <c:v>2023</c:v>
                </c:pt>
                <c:pt idx="1">
                  <c:v>2024</c:v>
                </c:pt>
              </c:strCache>
            </c:strRef>
          </c:cat>
          <c:val>
            <c:numRef>
              <c:f>'Лист1'!$K$2:$K$3</c:f>
              <c:numCache>
                <c:formatCode>General</c:formatCode>
                <c:ptCount val="2"/>
                <c:pt idx="0">
                  <c:v>3178.68</c:v>
                </c:pt>
                <c:pt idx="1">
                  <c:v>5674</c:v>
                </c:pt>
              </c:numCache>
            </c:numRef>
          </c:val>
          <c:extLst>
            <c:ext xmlns:c16="http://schemas.microsoft.com/office/drawing/2014/chart" uri="{C3380CC4-5D6E-409C-BE32-E72D297353CC}">
              <c16:uniqueId val="{00000009-7115-4B7C-9EE3-1683BB247D26}"/>
            </c:ext>
          </c:extLst>
        </c:ser>
        <c:ser>
          <c:idx val="10"/>
          <c:order val="10"/>
          <c:tx>
            <c:strRef>
              <c:f>Лист1!$L$1</c:f>
              <c:strCache>
                <c:ptCount val="1"/>
                <c:pt idx="0">
                  <c:v>Obveze za poreze, doprinose i slična davanja</c:v>
                </c:pt>
              </c:strCache>
            </c:strRef>
          </c:tx>
          <c:spPr>
            <a:gradFill>
              <a:gsLst>
                <a:gs pos="0">
                  <a:schemeClr val="dk1">
                    <a:tint val="98500"/>
                  </a:schemeClr>
                </a:gs>
                <a:gs pos="75000">
                  <a:schemeClr val="dk1">
                    <a:tint val="98500"/>
                    <a:lumMod val="60000"/>
                    <a:lumOff val="40000"/>
                  </a:schemeClr>
                </a:gs>
                <a:gs pos="51000">
                  <a:schemeClr val="dk1">
                    <a:tint val="98500"/>
                    <a:alpha val="75000"/>
                  </a:schemeClr>
                </a:gs>
                <a:gs pos="100000">
                  <a:schemeClr val="dk1">
                    <a:tint val="98500"/>
                    <a:lumMod val="20000"/>
                    <a:lumOff val="80000"/>
                    <a:alpha val="15000"/>
                  </a:schemeClr>
                </a:gs>
              </a:gsLst>
              <a:lin ang="5400000" scaled="1"/>
            </a:gradFill>
            <a:ln>
              <a:noFill/>
              <a:round/>
            </a:ln>
            <a:effectLst/>
          </c:spPr>
          <c:invertIfNegative val="0"/>
          <c:cat>
            <c:strRef>
              <c:f>'Лист1'!$A$2:$A$3</c:f>
              <c:strCache>
                <c:ptCount val="2"/>
                <c:pt idx="0">
                  <c:v>2023</c:v>
                </c:pt>
                <c:pt idx="1">
                  <c:v>2024</c:v>
                </c:pt>
              </c:strCache>
            </c:strRef>
          </c:cat>
          <c:val>
            <c:numRef>
              <c:f>'Лист1'!$L$2:$L$3</c:f>
              <c:numCache>
                <c:formatCode>General</c:formatCode>
                <c:ptCount val="2"/>
                <c:pt idx="0">
                  <c:v>3234.05</c:v>
                </c:pt>
                <c:pt idx="1">
                  <c:v>4845.66</c:v>
                </c:pt>
              </c:numCache>
            </c:numRef>
          </c:val>
          <c:extLst>
            <c:ext xmlns:c16="http://schemas.microsoft.com/office/drawing/2014/chart" uri="{C3380CC4-5D6E-409C-BE32-E72D297353CC}">
              <c16:uniqueId val="{0000000A-7115-4B7C-9EE3-1683BB247D26}"/>
            </c:ext>
          </c:extLst>
        </c:ser>
        <c:ser>
          <c:idx val="11"/>
          <c:order val="11"/>
          <c:tx>
            <c:strRef>
              <c:f>Лист1!$M$1</c:f>
              <c:strCache>
                <c:ptCount val="1"/>
                <c:pt idx="0">
                  <c:v>Obveze s osnove udjela u rezultatu</c:v>
                </c:pt>
              </c:strCache>
            </c:strRef>
          </c:tx>
          <c:spPr>
            <a:gradFill>
              <a:gsLst>
                <a:gs pos="0">
                  <a:schemeClr val="dk1">
                    <a:tint val="30000"/>
                  </a:schemeClr>
                </a:gs>
                <a:gs pos="75000">
                  <a:schemeClr val="dk1">
                    <a:tint val="30000"/>
                    <a:lumMod val="60000"/>
                    <a:lumOff val="40000"/>
                  </a:schemeClr>
                </a:gs>
                <a:gs pos="51000">
                  <a:schemeClr val="dk1">
                    <a:tint val="30000"/>
                    <a:alpha val="75000"/>
                  </a:schemeClr>
                </a:gs>
                <a:gs pos="100000">
                  <a:schemeClr val="dk1">
                    <a:tint val="30000"/>
                    <a:lumMod val="20000"/>
                    <a:lumOff val="80000"/>
                    <a:alpha val="15000"/>
                  </a:schemeClr>
                </a:gs>
              </a:gsLst>
              <a:lin ang="5400000" scaled="1"/>
            </a:gradFill>
            <a:ln>
              <a:noFill/>
              <a:round/>
            </a:ln>
            <a:effectLst/>
          </c:spPr>
          <c:invertIfNegative val="0"/>
          <c:cat>
            <c:strRef>
              <c:f>'Лист1'!$A$2:$A$3</c:f>
              <c:strCache>
                <c:ptCount val="2"/>
                <c:pt idx="0">
                  <c:v>2023</c:v>
                </c:pt>
                <c:pt idx="1">
                  <c:v>2024</c:v>
                </c:pt>
              </c:strCache>
            </c:strRef>
          </c:cat>
          <c:val>
            <c:numRef>
              <c:f>'Лист1'!$M$2:$M$3</c:f>
              <c:numCache>
                <c:formatCode>General</c:formatCode>
                <c:ptCount val="2"/>
                <c:pt idx="0">
                  <c:v>0</c:v>
                </c:pt>
                <c:pt idx="1">
                  <c:v>0</c:v>
                </c:pt>
              </c:numCache>
            </c:numRef>
          </c:val>
          <c:extLst>
            <c:ext xmlns:c16="http://schemas.microsoft.com/office/drawing/2014/chart" uri="{C3380CC4-5D6E-409C-BE32-E72D297353CC}">
              <c16:uniqueId val="{0000000B-7115-4B7C-9EE3-1683BB247D26}"/>
            </c:ext>
          </c:extLst>
        </c:ser>
        <c:ser>
          <c:idx val="12"/>
          <c:order val="12"/>
          <c:tx>
            <c:strRef>
              <c:f>Лист1!$N$1</c:f>
              <c:strCache>
                <c:ptCount val="1"/>
                <c:pt idx="0">
                  <c:v>Obveze po osnovi dugotrajne imovine namjenjene prodaji</c:v>
                </c:pt>
              </c:strCache>
            </c:strRef>
          </c:tx>
          <c:spPr>
            <a:gradFill>
              <a:gsLst>
                <a:gs pos="0">
                  <a:schemeClr val="dk1">
                    <a:tint val="60000"/>
                  </a:schemeClr>
                </a:gs>
                <a:gs pos="75000">
                  <a:schemeClr val="dk1">
                    <a:tint val="60000"/>
                    <a:lumMod val="60000"/>
                    <a:lumOff val="40000"/>
                  </a:schemeClr>
                </a:gs>
                <a:gs pos="51000">
                  <a:schemeClr val="dk1">
                    <a:tint val="60000"/>
                    <a:alpha val="75000"/>
                  </a:schemeClr>
                </a:gs>
                <a:gs pos="100000">
                  <a:schemeClr val="dk1">
                    <a:tint val="60000"/>
                    <a:lumMod val="20000"/>
                    <a:lumOff val="80000"/>
                    <a:alpha val="15000"/>
                  </a:schemeClr>
                </a:gs>
              </a:gsLst>
              <a:lin ang="5400000" scaled="1"/>
            </a:gradFill>
            <a:ln>
              <a:noFill/>
              <a:round/>
            </a:ln>
            <a:effectLst/>
          </c:spPr>
          <c:invertIfNegative val="0"/>
          <c:cat>
            <c:strRef>
              <c:f>'Лист1'!$A$2:$A$3</c:f>
              <c:strCache>
                <c:ptCount val="2"/>
                <c:pt idx="0">
                  <c:v>2023</c:v>
                </c:pt>
                <c:pt idx="1">
                  <c:v>2024</c:v>
                </c:pt>
              </c:strCache>
            </c:strRef>
          </c:cat>
          <c:val>
            <c:numRef>
              <c:f>'Лист1'!$N$2:$N$3</c:f>
              <c:numCache>
                <c:formatCode>General</c:formatCode>
                <c:ptCount val="2"/>
                <c:pt idx="0">
                  <c:v>0</c:v>
                </c:pt>
                <c:pt idx="1">
                  <c:v>0</c:v>
                </c:pt>
              </c:numCache>
            </c:numRef>
          </c:val>
          <c:extLst>
            <c:ext xmlns:c16="http://schemas.microsoft.com/office/drawing/2014/chart" uri="{C3380CC4-5D6E-409C-BE32-E72D297353CC}">
              <c16:uniqueId val="{0000000C-7115-4B7C-9EE3-1683BB247D26}"/>
            </c:ext>
          </c:extLst>
        </c:ser>
        <c:ser>
          <c:idx val="13"/>
          <c:order val="13"/>
          <c:tx>
            <c:strRef>
              <c:f>Лист1!$O$1</c:f>
              <c:strCache>
                <c:ptCount val="1"/>
                <c:pt idx="0">
                  <c:v>Ostale kratkoročne obveze</c:v>
                </c:pt>
              </c:strCache>
            </c:strRef>
          </c:tx>
          <c:spPr>
            <a:gradFill>
              <a:gsLst>
                <a:gs pos="0">
                  <a:schemeClr val="dk1">
                    <a:tint val="80000"/>
                  </a:schemeClr>
                </a:gs>
                <a:gs pos="75000">
                  <a:schemeClr val="dk1">
                    <a:tint val="80000"/>
                    <a:lumMod val="60000"/>
                    <a:lumOff val="40000"/>
                  </a:schemeClr>
                </a:gs>
                <a:gs pos="51000">
                  <a:schemeClr val="dk1">
                    <a:tint val="80000"/>
                    <a:alpha val="75000"/>
                  </a:schemeClr>
                </a:gs>
                <a:gs pos="100000">
                  <a:schemeClr val="dk1">
                    <a:tint val="80000"/>
                    <a:lumMod val="20000"/>
                    <a:lumOff val="80000"/>
                    <a:alpha val="15000"/>
                  </a:schemeClr>
                </a:gs>
              </a:gsLst>
              <a:lin ang="5400000" scaled="1"/>
            </a:gradFill>
            <a:ln>
              <a:noFill/>
              <a:round/>
            </a:ln>
            <a:effectLst/>
          </c:spPr>
          <c:invertIfNegative val="0"/>
          <c:cat>
            <c:strRef>
              <c:f>'Лист1'!$A$2:$A$3</c:f>
              <c:strCache>
                <c:ptCount val="2"/>
                <c:pt idx="0">
                  <c:v>2023</c:v>
                </c:pt>
                <c:pt idx="1">
                  <c:v>2024</c:v>
                </c:pt>
              </c:strCache>
            </c:strRef>
          </c:cat>
          <c:val>
            <c:numRef>
              <c:f>'Лист1'!$O$2:$O$3</c:f>
              <c:numCache>
                <c:formatCode>General</c:formatCode>
                <c:ptCount val="2"/>
                <c:pt idx="0">
                  <c:v>0</c:v>
                </c:pt>
                <c:pt idx="1">
                  <c:v>0</c:v>
                </c:pt>
              </c:numCache>
            </c:numRef>
          </c:val>
          <c:extLst>
            <c:ext xmlns:c16="http://schemas.microsoft.com/office/drawing/2014/chart" uri="{C3380CC4-5D6E-409C-BE32-E72D297353CC}">
              <c16:uniqueId val="{0000000D-7115-4B7C-9EE3-1683BB247D26}"/>
            </c:ext>
          </c:extLst>
        </c:ser>
        <c:dLbls>
          <c:showLegendKey val="0"/>
          <c:showVal val="0"/>
          <c:showCatName val="0"/>
          <c:showSerName val="0"/>
          <c:showPercent val="0"/>
          <c:showBubbleSize val="0"/>
        </c:dLbls>
        <c:gapWidth val="355"/>
        <c:overlap val="-70"/>
        <c:axId val="-1112990976"/>
        <c:axId val="-1112989200"/>
      </c:barChart>
      <c:catAx>
        <c:axId val="-1112990976"/>
        <c:scaling>
          <c:orientation val="minMax"/>
        </c:scaling>
        <c:delete val="0"/>
        <c:axPos val="b"/>
        <c:numFmt formatCode="General" sourceLinked="1"/>
        <c:majorTickMark val="none"/>
        <c:minorTickMark val="none"/>
        <c:tickLblPos val="nextTo"/>
        <c:spPr>
          <a:ln w="9525">
            <a:solidFill>
              <a:srgbClr val="D9D9D9"/>
            </a:solidFill>
            <a:prstDash val="solid"/>
            <a:round/>
          </a:ln>
        </c:spPr>
        <c:txPr>
          <a:bodyPr/>
          <a:lstStyle/>
          <a:p>
            <a:pPr algn="ctr">
              <a:defRPr sz="900" baseline="0">
                <a:solidFill>
                  <a:srgbClr val="595959"/>
                </a:solidFill>
                <a:latin typeface="Times New Roman"/>
                <a:ea typeface="Times New Roman"/>
                <a:cs typeface="Times New Roman"/>
              </a:defRPr>
            </a:pPr>
            <a:endParaRPr lang="sr-Latn-RS"/>
          </a:p>
        </c:txPr>
        <c:crossAx val="-1112989200"/>
        <c:crosses val="autoZero"/>
        <c:auto val="1"/>
        <c:lblAlgn val="ctr"/>
        <c:lblOffset val="100"/>
        <c:noMultiLvlLbl val="0"/>
      </c:catAx>
      <c:valAx>
        <c:axId val="-1112989200"/>
        <c:scaling>
          <c:orientation val="minMax"/>
        </c:scaling>
        <c:delete val="0"/>
        <c:axPos val="l"/>
        <c:majorGridlines>
          <c:spPr>
            <a:ln w="9525">
              <a:gradFill>
                <a:gsLst>
                  <a:gs pos="100000">
                    <a:schemeClr val="tx1">
                      <a:lumMod val="5000"/>
                      <a:lumOff val="95000"/>
                    </a:schemeClr>
                  </a:gs>
                  <a:gs pos="0">
                    <a:schemeClr val="tx1">
                      <a:lumMod val="25000"/>
                      <a:lumOff val="75000"/>
                    </a:schemeClr>
                  </a:gs>
                </a:gsLst>
                <a:lin ang="5400000" scaled="1"/>
              </a:gradFill>
              <a:round/>
            </a:ln>
          </c:spPr>
        </c:majorGridlines>
        <c:numFmt formatCode="General" sourceLinked="1"/>
        <c:majorTickMark val="none"/>
        <c:minorTickMark val="none"/>
        <c:tickLblPos val="nextTo"/>
        <c:spPr>
          <a:ln>
            <a:noFill/>
            <a:round/>
          </a:ln>
        </c:spPr>
        <c:txPr>
          <a:bodyPr/>
          <a:lstStyle/>
          <a:p>
            <a:pPr algn="ctr">
              <a:defRPr sz="900" baseline="0">
                <a:solidFill>
                  <a:srgbClr val="595959"/>
                </a:solidFill>
                <a:latin typeface="Times New Roman"/>
                <a:ea typeface="Times New Roman"/>
                <a:cs typeface="Times New Roman"/>
              </a:defRPr>
            </a:pPr>
            <a:endParaRPr lang="sr-Latn-RS"/>
          </a:p>
        </c:txPr>
        <c:crossAx val="-1112990976"/>
        <c:crosses val="autoZero"/>
        <c:crossBetween val="between"/>
      </c:valAx>
      <c:spPr>
        <a:noFill/>
        <a:ln>
          <a:noFill/>
          <a:round/>
        </a:ln>
        <a:effectLst/>
      </c:spPr>
    </c:plotArea>
    <c:legend>
      <c:legendPos val="t"/>
      <c:overlay val="0"/>
      <c:spPr>
        <a:noFill/>
        <a:ln>
          <a:noFill/>
          <a:round/>
        </a:ln>
        <a:effectLst/>
      </c:spPr>
      <c:txPr>
        <a:bodyPr/>
        <a:lstStyle/>
        <a:p>
          <a:pPr>
            <a:defRPr sz="900" b="0" baseline="0">
              <a:solidFill>
                <a:srgbClr val="595959"/>
              </a:solidFill>
              <a:latin typeface="Times New Roman"/>
              <a:ea typeface="Times New Roman"/>
              <a:cs typeface="Times New Roman"/>
            </a:defRPr>
          </a:pPr>
          <a:endParaRPr lang="sr-Latn-RS"/>
        </a:p>
      </c:txPr>
    </c:legend>
    <c:plotVisOnly val="1"/>
    <c:dispBlanksAs val="gap"/>
    <c:showDLblsOverMax val="1"/>
  </c:chart>
  <c:spPr>
    <a:solidFill>
      <a:srgbClr val="FFFFFF"/>
    </a:solidFill>
    <a:ln w="9525">
      <a:noFill/>
      <a:round/>
    </a:ln>
    <a:effectLst/>
  </c:spPr>
  <c:txPr>
    <a:bodyPr/>
    <a:lstStyle/>
    <a:p>
      <a:pPr>
        <a:defRPr>
          <a:latin typeface="Times New Roman" panose="02020603050405020304" pitchFamily="18" charset="0"/>
          <a:cs typeface="Times New Roman" panose="02020603050405020304" pitchFamily="18" charset="0"/>
        </a:defRPr>
      </a:pPr>
      <a:endParaRPr lang="en-HR"/>
    </a:p>
  </c:txPr>
  <c:externalData r:id="rId1">
    <c:autoUpdate val="0"/>
  </c:externalData>
</c:chartSpace>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panose="020F0302020204030204"/>
        <a:cs typeface="" panose="020F0302020204030204"/>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panose="020F0502020204030204"/>
        <a:cs typeface="" panose="020F0502020204030204"/>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2EC17C-D16D-42A1-A035-FD5674DBE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3293</TotalTime>
  <Pages>13</Pages>
  <Words>3079</Words>
  <Characters>17555</Characters>
  <Application>Microsoft Office Word</Application>
  <DocSecurity>0</DocSecurity>
  <Lines>146</Lines>
  <Paragraphs>41</Paragraphs>
  <ScaleCrop>false</ScaleCrop>
  <Company/>
  <LinksUpToDate>false</LinksUpToDate>
  <CharactersWithSpaces>20593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Danijel Knezić</dc:creator>
  <cp:keywords/>
  <dc:description/>
  <cp:lastModifiedBy>EKO PROMINA d.o.o.</cp:lastModifiedBy>
  <cp:revision>199</cp:revision>
  <dcterms:created xsi:type="dcterms:W3CDTF">2019-04-04T04:40:00Z</dcterms:created>
  <dcterms:modified xsi:type="dcterms:W3CDTF">2025-04-23T09:07:00Z</dcterms:modified>
</cp:coreProperties>
</file>