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503F" w14:textId="77777777" w:rsidR="00B600A6" w:rsidRDefault="00B600A6">
      <w:pPr>
        <w:spacing w:after="0" w:line="240" w:lineRule="auto"/>
        <w:ind w:right="-567"/>
        <w:rPr>
          <w:rFonts w:ascii="Times New Roman" w:eastAsia="Times New Roman" w:hAnsi="Times New Roman" w:cs="Times New Roman"/>
          <w:szCs w:val="24"/>
        </w:rPr>
      </w:pPr>
      <w:r>
        <w:rPr>
          <w:rFonts w:ascii="Times New Roman" w:eastAsia="Times New Roman" w:hAnsi="Times New Roman" w:cs="Times New Roman"/>
          <w:szCs w:val="24"/>
        </w:rPr>
        <w:t xml:space="preserve">KLASA:       </w:t>
      </w:r>
      <w:r>
        <w:rPr>
          <w:rFonts w:ascii="Times New Roman" w:eastAsia="Times New Roman" w:hAnsi="Times New Roman" w:cs="Times New Roman"/>
          <w:noProof/>
          <w:szCs w:val="24"/>
          <w:lang w:val="en-US"/>
        </w:rPr>
        <w:t>013-01/24-01/1</w:t>
      </w:r>
      <w:r>
        <w:rPr>
          <w:rFonts w:ascii="Times New Roman" w:eastAsia="Times New Roman" w:hAnsi="Times New Roman" w:cs="Times New Roman"/>
          <w:szCs w:val="24"/>
        </w:rPr>
        <w:t xml:space="preserve">                                                                                                                                             </w:t>
      </w:r>
    </w:p>
    <w:p w14:paraId="796138DB" w14:textId="77777777" w:rsidR="00B600A6" w:rsidRDefault="00B600A6">
      <w:pPr>
        <w:rPr>
          <w:rFonts w:ascii="Times New Roman" w:eastAsia="Times New Roman" w:hAnsi="Times New Roman" w:cs="Times New Roman"/>
          <w:szCs w:val="24"/>
        </w:rPr>
      </w:pPr>
      <w:r>
        <w:rPr>
          <w:rFonts w:ascii="Times New Roman" w:eastAsia="Times New Roman" w:hAnsi="Times New Roman" w:cs="Times New Roman"/>
          <w:szCs w:val="24"/>
        </w:rPr>
        <w:t xml:space="preserve">URBROJ:     </w:t>
      </w:r>
      <w:r>
        <w:rPr>
          <w:rFonts w:ascii="Times New Roman" w:eastAsia="Times New Roman" w:hAnsi="Times New Roman" w:cs="Times New Roman"/>
          <w:noProof/>
          <w:szCs w:val="24"/>
        </w:rPr>
        <w:t>2182-9-2-24-1</w:t>
      </w:r>
      <w:r>
        <w:rPr>
          <w:rFonts w:ascii="Times New Roman" w:eastAsia="Times New Roman" w:hAnsi="Times New Roman" w:cs="Times New Roman"/>
          <w:szCs w:val="24"/>
        </w:rPr>
        <w:t xml:space="preserve">                                              </w:t>
      </w:r>
    </w:p>
    <w:p w14:paraId="21CF1DB3" w14:textId="77777777" w:rsidR="00B600A6" w:rsidRDefault="00B600A6">
      <w:pPr>
        <w:rPr>
          <w:rFonts w:ascii="Times New Roman" w:eastAsia="Times New Roman" w:hAnsi="Times New Roman" w:cs="Times New Roman"/>
          <w:szCs w:val="24"/>
        </w:rPr>
      </w:pPr>
      <w:r>
        <w:rPr>
          <w:rFonts w:ascii="Times New Roman" w:eastAsia="Times New Roman" w:hAnsi="Times New Roman" w:cs="Times New Roman"/>
        </w:rPr>
        <w:t xml:space="preserve"> </w:t>
      </w:r>
      <w:r w:rsidR="003D0621">
        <w:pict w14:anchorId="0FF22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73.5pt">
            <v:imagedata r:id="rId5" o:title=""/>
          </v:shape>
        </w:pict>
      </w:r>
      <w:r>
        <w:rPr>
          <w:rFonts w:ascii="Times New Roman" w:eastAsia="Times New Roman" w:hAnsi="Times New Roman" w:cs="Times New Roman"/>
        </w:rPr>
        <w:t xml:space="preserve">  </w:t>
      </w:r>
    </w:p>
    <w:p w14:paraId="21B3247C" w14:textId="77777777" w:rsidR="00B600A6" w:rsidRDefault="00B600A6">
      <w:pPr>
        <w:suppressAutoHyphens/>
        <w:spacing w:line="240" w:lineRule="auto"/>
        <w:jc w:val="center"/>
        <w:rPr>
          <w:rFonts w:ascii="Times New Roman" w:eastAsia="Times New Roman" w:hAnsi="Times New Roman" w:cs="Times New Roman"/>
          <w:b/>
          <w:bCs/>
          <w:color w:val="231F20"/>
          <w:sz w:val="24"/>
          <w:szCs w:val="24"/>
          <w:shd w:val="clear" w:color="auto" w:fill="FFFFFF"/>
        </w:rPr>
      </w:pPr>
    </w:p>
    <w:p w14:paraId="708B7552" w14:textId="77777777" w:rsidR="00B600A6" w:rsidRDefault="00B600A6">
      <w:pPr>
        <w:suppressAutoHyphens/>
        <w:spacing w:after="0" w:line="240" w:lineRule="auto"/>
        <w:rPr>
          <w:rFonts w:ascii="Times New Roman" w:eastAsia="Times New Roman" w:hAnsi="Times New Roman" w:cs="Times New Roman"/>
          <w:b/>
          <w:bCs/>
          <w:color w:val="231F20"/>
          <w:sz w:val="24"/>
          <w:szCs w:val="24"/>
          <w:shd w:val="clear" w:color="auto" w:fill="FFFFFF"/>
        </w:rPr>
      </w:pPr>
      <w:r>
        <w:rPr>
          <w:rFonts w:ascii="Times New Roman" w:eastAsia="Times New Roman" w:hAnsi="Times New Roman" w:cs="Times New Roman"/>
          <w:b/>
          <w:bCs/>
          <w:color w:val="231F20"/>
          <w:sz w:val="24"/>
          <w:szCs w:val="24"/>
          <w:shd w:val="clear" w:color="auto" w:fill="FFFFFF"/>
        </w:rPr>
        <w:t>U Oklaju 21. 2. 2024.</w:t>
      </w:r>
    </w:p>
    <w:p w14:paraId="3120C78C" w14:textId="77777777" w:rsidR="00B600A6" w:rsidRDefault="00B600A6">
      <w:pPr>
        <w:suppressAutoHyphens/>
        <w:spacing w:after="0" w:line="240" w:lineRule="auto"/>
        <w:rPr>
          <w:rFonts w:ascii="Times New Roman" w:eastAsia="Times New Roman" w:hAnsi="Times New Roman" w:cs="Times New Roman"/>
          <w:b/>
          <w:bCs/>
          <w:color w:val="231F20"/>
          <w:sz w:val="24"/>
          <w:szCs w:val="24"/>
          <w:shd w:val="clear" w:color="auto" w:fill="FFFFFF"/>
        </w:rPr>
      </w:pPr>
    </w:p>
    <w:p w14:paraId="519409F8" w14:textId="77777777" w:rsidR="00422361" w:rsidRDefault="00422361">
      <w:pPr>
        <w:suppressAutoHyphens/>
        <w:spacing w:after="0" w:line="240" w:lineRule="auto"/>
        <w:rPr>
          <w:rFonts w:ascii="Times New Roman" w:eastAsia="Times New Roman" w:hAnsi="Times New Roman" w:cs="Times New Roman"/>
          <w:b/>
          <w:bCs/>
          <w:color w:val="231F20"/>
          <w:sz w:val="24"/>
          <w:szCs w:val="24"/>
          <w:shd w:val="clear" w:color="auto" w:fill="FFFFFF"/>
        </w:rPr>
      </w:pPr>
    </w:p>
    <w:p w14:paraId="374F4D34" w14:textId="77777777" w:rsidR="00B600A6" w:rsidRDefault="00B600A6">
      <w:pPr>
        <w:suppressAutoHyphens/>
        <w:spacing w:after="0" w:line="240" w:lineRule="auto"/>
        <w:jc w:val="center"/>
        <w:rPr>
          <w:rFonts w:ascii="Times New Roman" w:eastAsia="Times New Roman" w:hAnsi="Times New Roman" w:cs="Times New Roman"/>
          <w:b/>
          <w:bCs/>
          <w:color w:val="231F20"/>
          <w:sz w:val="24"/>
          <w:szCs w:val="24"/>
          <w:shd w:val="clear" w:color="auto" w:fill="FFFFFF"/>
        </w:rPr>
      </w:pPr>
      <w:r>
        <w:rPr>
          <w:rFonts w:ascii="Times New Roman" w:eastAsia="Times New Roman" w:hAnsi="Times New Roman" w:cs="Times New Roman"/>
          <w:b/>
          <w:bCs/>
          <w:color w:val="231F20"/>
          <w:sz w:val="24"/>
          <w:szCs w:val="24"/>
          <w:shd w:val="clear" w:color="auto" w:fill="FFFFFF"/>
        </w:rPr>
        <w:t xml:space="preserve">Prijedlog </w:t>
      </w:r>
      <w:r>
        <w:rPr>
          <w:rFonts w:ascii="Times New Roman" w:eastAsia="Times New Roman" w:hAnsi="Times New Roman" w:cs="Times New Roman"/>
          <w:b/>
          <w:bCs/>
          <w:sz w:val="24"/>
          <w:szCs w:val="24"/>
        </w:rPr>
        <w:t>Cjenika usluge prikupljanja miješanog komunalnog otpada</w:t>
      </w:r>
      <w:r>
        <w:rPr>
          <w:rFonts w:ascii="Times New Roman" w:eastAsia="Times New Roman" w:hAnsi="Times New Roman" w:cs="Times New Roman"/>
          <w:b/>
          <w:bCs/>
          <w:color w:val="231F20"/>
          <w:sz w:val="24"/>
          <w:szCs w:val="24"/>
          <w:shd w:val="clear" w:color="auto" w:fill="FFFFFF"/>
        </w:rPr>
        <w:t xml:space="preserve"> s obrazloženjem cijene i izmjene cijene te obrazloženje načina na koji je određena cijena obvezne minimalne javne usluge</w:t>
      </w:r>
    </w:p>
    <w:p w14:paraId="7851A31F" w14:textId="77777777" w:rsidR="00B600A6" w:rsidRDefault="00B600A6">
      <w:pPr>
        <w:suppressAutoHyphens/>
        <w:spacing w:after="0" w:line="240" w:lineRule="auto"/>
        <w:jc w:val="center"/>
        <w:rPr>
          <w:rFonts w:ascii="Times New Roman" w:eastAsia="Times New Roman" w:hAnsi="Times New Roman" w:cs="Times New Roman"/>
          <w:b/>
          <w:bCs/>
          <w:color w:val="231F20"/>
          <w:sz w:val="24"/>
          <w:szCs w:val="24"/>
          <w:shd w:val="clear" w:color="auto" w:fill="FFFFFF"/>
        </w:rPr>
      </w:pPr>
    </w:p>
    <w:p w14:paraId="6EEBD74B" w14:textId="77777777" w:rsidR="00032B54" w:rsidRDefault="00032B54">
      <w:pPr>
        <w:suppressAutoHyphens/>
        <w:spacing w:after="0" w:line="240" w:lineRule="auto"/>
        <w:jc w:val="center"/>
        <w:rPr>
          <w:rFonts w:ascii="Times New Roman" w:eastAsia="Times New Roman" w:hAnsi="Times New Roman" w:cs="Times New Roman"/>
          <w:b/>
          <w:bCs/>
          <w:color w:val="231F20"/>
          <w:sz w:val="24"/>
          <w:szCs w:val="24"/>
          <w:shd w:val="clear" w:color="auto" w:fill="FFFFFF"/>
        </w:rPr>
      </w:pPr>
    </w:p>
    <w:p w14:paraId="68AF3BF9" w14:textId="77777777" w:rsidR="00B600A6" w:rsidRDefault="00B600A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proizvedenom 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i namještaj, uključivo i otpad koji se svrstava u posebne kategorije otpada čije gospodarenje je uređeno propisima kojima se uređuje gospodarenje posebnim kategorijama otpada, te time smanjila količina otpada koji se zbrinjava odlaganjem.</w:t>
      </w:r>
    </w:p>
    <w:p w14:paraId="259CB6AB" w14:textId="77777777" w:rsidR="00B600A6" w:rsidRDefault="00B600A6">
      <w:pPr>
        <w:suppressAutoHyphens/>
        <w:spacing w:after="0" w:line="240" w:lineRule="auto"/>
        <w:jc w:val="both"/>
        <w:rPr>
          <w:rFonts w:ascii="Times New Roman" w:eastAsia="Times New Roman" w:hAnsi="Times New Roman" w:cs="Times New Roman"/>
          <w:sz w:val="24"/>
          <w:szCs w:val="24"/>
        </w:rPr>
      </w:pPr>
    </w:p>
    <w:p w14:paraId="08189797" w14:textId="77777777" w:rsidR="00B600A6" w:rsidRDefault="00B600A6">
      <w:pPr>
        <w:pStyle w:val="StandardWeb"/>
        <w:spacing w:before="0" w:beforeAutospacing="0" w:after="0" w:afterAutospacing="0"/>
        <w:jc w:val="both"/>
      </w:pPr>
      <w:r>
        <w:t>Javna usluga je usluga od općeg interesa, a uključuje sljedeće usluge:</w:t>
      </w:r>
    </w:p>
    <w:p w14:paraId="327C2AB0" w14:textId="77777777" w:rsidR="00B600A6" w:rsidRDefault="00B600A6">
      <w:pPr>
        <w:pStyle w:val="StandardWeb"/>
        <w:spacing w:before="0" w:beforeAutospacing="0" w:after="0" w:afterAutospacing="0"/>
        <w:jc w:val="both"/>
      </w:pPr>
      <w:r>
        <w:t>– uslugu prikupljanja na lokaciji obračunskog mjesta korisnika usluge:</w:t>
      </w:r>
    </w:p>
    <w:p w14:paraId="607E6991" w14:textId="77777777" w:rsidR="00B600A6" w:rsidRDefault="00B600A6">
      <w:pPr>
        <w:pStyle w:val="StandardWeb"/>
        <w:spacing w:before="0" w:beforeAutospacing="0" w:after="0" w:afterAutospacing="0"/>
        <w:jc w:val="both"/>
      </w:pPr>
      <w:r>
        <w:t>1. miješanog komunalnog otpada</w:t>
      </w:r>
    </w:p>
    <w:p w14:paraId="6CA4D263" w14:textId="77777777" w:rsidR="00B600A6" w:rsidRDefault="00B600A6">
      <w:pPr>
        <w:pStyle w:val="StandardWeb"/>
        <w:spacing w:before="0" w:beforeAutospacing="0" w:after="0" w:afterAutospacing="0"/>
        <w:jc w:val="both"/>
      </w:pPr>
      <w:r>
        <w:t>2. biootpada</w:t>
      </w:r>
    </w:p>
    <w:p w14:paraId="0A2823B1" w14:textId="77777777" w:rsidR="00B600A6" w:rsidRDefault="00B600A6">
      <w:pPr>
        <w:pStyle w:val="StandardWeb"/>
        <w:spacing w:before="0" w:beforeAutospacing="0" w:after="0" w:afterAutospacing="0"/>
        <w:jc w:val="both"/>
      </w:pPr>
      <w:r>
        <w:t>3. reciklabilnog komunalnog otpada i</w:t>
      </w:r>
    </w:p>
    <w:p w14:paraId="40EDFD5D" w14:textId="77777777" w:rsidR="00B600A6" w:rsidRDefault="00B600A6">
      <w:pPr>
        <w:pStyle w:val="StandardWeb"/>
        <w:spacing w:before="0" w:beforeAutospacing="0" w:after="0" w:afterAutospacing="0"/>
        <w:jc w:val="both"/>
      </w:pPr>
      <w:r>
        <w:t>4. glomaznog otpada jednom godišnje te</w:t>
      </w:r>
    </w:p>
    <w:p w14:paraId="051DBE3E" w14:textId="77777777" w:rsidR="00B600A6" w:rsidRDefault="00B600A6">
      <w:pPr>
        <w:pStyle w:val="StandardWeb"/>
        <w:spacing w:before="0" w:beforeAutospacing="0" w:after="0" w:afterAutospacing="0"/>
        <w:jc w:val="both"/>
      </w:pPr>
      <w:r>
        <w:t>– uslugu preuzimanja otpada u reciklažnom dvorištu</w:t>
      </w:r>
    </w:p>
    <w:p w14:paraId="611801C0" w14:textId="77777777" w:rsidR="00B600A6" w:rsidRDefault="00B600A6">
      <w:pPr>
        <w:pStyle w:val="StandardWeb"/>
        <w:spacing w:before="0" w:beforeAutospacing="0" w:after="0" w:afterAutospacing="0"/>
        <w:jc w:val="both"/>
      </w:pPr>
      <w:r>
        <w:t>– uslugu prijevoza i predaje otpada ovlaštenoj osobi.</w:t>
      </w:r>
    </w:p>
    <w:p w14:paraId="7108098D" w14:textId="77777777" w:rsidR="00B600A6" w:rsidRDefault="00B600A6">
      <w:pPr>
        <w:pStyle w:val="StandardWeb"/>
        <w:spacing w:before="0" w:beforeAutospacing="0" w:after="0" w:afterAutospacing="0"/>
        <w:jc w:val="both"/>
      </w:pPr>
    </w:p>
    <w:p w14:paraId="5C634827" w14:textId="77777777" w:rsidR="00B600A6" w:rsidRDefault="00B600A6">
      <w:pPr>
        <w:pStyle w:val="StandardWeb"/>
        <w:spacing w:before="0" w:beforeAutospacing="0" w:after="0" w:afterAutospacing="0"/>
        <w:jc w:val="both"/>
        <w:rPr>
          <w:b/>
          <w:bCs/>
        </w:rPr>
      </w:pPr>
      <w:r>
        <w:rPr>
          <w:b/>
          <w:bCs/>
        </w:rPr>
        <w:t>1.Razlog izmjene cjenika</w:t>
      </w:r>
    </w:p>
    <w:p w14:paraId="67D3E997" w14:textId="77777777" w:rsidR="00B600A6" w:rsidRDefault="00B600A6">
      <w:pPr>
        <w:pStyle w:val="StandardWeb"/>
        <w:spacing w:before="0" w:beforeAutospacing="0" w:after="0" w:afterAutospacing="0"/>
        <w:jc w:val="both"/>
      </w:pPr>
    </w:p>
    <w:p w14:paraId="47B53580" w14:textId="77777777" w:rsidR="00B600A6" w:rsidRDefault="00B600A6">
      <w:pPr>
        <w:pStyle w:val="StandardWeb"/>
        <w:spacing w:before="0" w:beforeAutospacing="0" w:after="0" w:afterAutospacing="0"/>
        <w:jc w:val="both"/>
      </w:pPr>
      <w:r>
        <w:t>Razlog izmjene cjenika je godišnja stopa inflacije. Uslijed porasta godišnje stope inflacije koja je, prema Državnom zavodu za statistiku, u 2022. godini iznosila 10,8 % i koja se zadržala na povišenim razinama i u 2023. godini, troškovi nabave usluga vezanih za prikupljanje otpada u samo godinu dana povećali su se za 43 % (promatrano u 2022. godini i 2023. godini).</w:t>
      </w:r>
    </w:p>
    <w:p w14:paraId="0DD23BB5" w14:textId="77777777" w:rsidR="00B600A6" w:rsidRDefault="00B600A6">
      <w:pPr>
        <w:suppressAutoHyphens/>
        <w:spacing w:after="0" w:line="240" w:lineRule="auto"/>
        <w:jc w:val="both"/>
        <w:rPr>
          <w:rFonts w:ascii="Times New Roman" w:eastAsia="Times New Roman" w:hAnsi="Times New Roman" w:cs="Times New Roman"/>
          <w:b/>
          <w:bCs/>
          <w:sz w:val="28"/>
          <w:szCs w:val="28"/>
          <w:shd w:val="clear" w:color="auto" w:fill="FFFFFF"/>
        </w:rPr>
      </w:pPr>
    </w:p>
    <w:p w14:paraId="554937D0" w14:textId="77777777" w:rsidR="00032B54" w:rsidRDefault="00032B54">
      <w:pPr>
        <w:suppressAutoHyphens/>
        <w:spacing w:after="0" w:line="240" w:lineRule="auto"/>
        <w:jc w:val="both"/>
        <w:rPr>
          <w:rFonts w:ascii="Times New Roman" w:eastAsia="Times New Roman" w:hAnsi="Times New Roman" w:cs="Times New Roman"/>
          <w:b/>
          <w:bCs/>
          <w:sz w:val="28"/>
          <w:szCs w:val="28"/>
          <w:shd w:val="clear" w:color="auto" w:fill="FFFFFF"/>
        </w:rPr>
      </w:pPr>
    </w:p>
    <w:p w14:paraId="74EF1514" w14:textId="77777777" w:rsidR="00032B54" w:rsidRDefault="00032B54">
      <w:pPr>
        <w:suppressAutoHyphens/>
        <w:spacing w:after="0" w:line="240" w:lineRule="auto"/>
        <w:jc w:val="both"/>
        <w:rPr>
          <w:rFonts w:ascii="Times New Roman" w:eastAsia="Times New Roman" w:hAnsi="Times New Roman" w:cs="Times New Roman"/>
          <w:b/>
          <w:bCs/>
          <w:sz w:val="28"/>
          <w:szCs w:val="28"/>
          <w:shd w:val="clear" w:color="auto" w:fill="FFFFFF"/>
        </w:rPr>
      </w:pPr>
    </w:p>
    <w:p w14:paraId="13089D66" w14:textId="77777777" w:rsidR="00032B54" w:rsidRDefault="00032B54">
      <w:pPr>
        <w:suppressAutoHyphens/>
        <w:spacing w:after="0" w:line="240" w:lineRule="auto"/>
        <w:jc w:val="both"/>
        <w:rPr>
          <w:rFonts w:ascii="Times New Roman" w:eastAsia="Times New Roman" w:hAnsi="Times New Roman" w:cs="Times New Roman"/>
          <w:b/>
          <w:bCs/>
          <w:sz w:val="28"/>
          <w:szCs w:val="28"/>
          <w:shd w:val="clear" w:color="auto" w:fill="FFFFFF"/>
        </w:rPr>
      </w:pPr>
    </w:p>
    <w:p w14:paraId="4C8B12B8" w14:textId="77777777" w:rsidR="00032B54" w:rsidRDefault="00032B54">
      <w:pPr>
        <w:suppressAutoHyphens/>
        <w:spacing w:after="0" w:line="240" w:lineRule="auto"/>
        <w:jc w:val="both"/>
        <w:rPr>
          <w:rFonts w:ascii="Times New Roman" w:eastAsia="Times New Roman" w:hAnsi="Times New Roman" w:cs="Times New Roman"/>
          <w:b/>
          <w:bCs/>
          <w:sz w:val="28"/>
          <w:szCs w:val="28"/>
          <w:shd w:val="clear" w:color="auto" w:fill="FFFFFF"/>
        </w:rPr>
      </w:pPr>
    </w:p>
    <w:p w14:paraId="0E59ED52" w14:textId="77777777" w:rsidR="00B600A6" w:rsidRDefault="00B600A6">
      <w:pPr>
        <w:pStyle w:val="box468252"/>
        <w:shd w:val="clear" w:color="auto" w:fill="FFFFFF"/>
        <w:suppressAutoHyphens/>
        <w:spacing w:before="0" w:beforeAutospacing="0" w:after="0" w:afterAutospacing="0"/>
        <w:ind w:left="360" w:hanging="360"/>
        <w:textAlignment w:val="baseline"/>
        <w:rPr>
          <w:b/>
          <w:bCs/>
          <w:color w:val="231F20"/>
        </w:rPr>
      </w:pPr>
      <w:r>
        <w:rPr>
          <w:b/>
          <w:bCs/>
          <w:color w:val="231F20"/>
        </w:rPr>
        <w:t>2.Cjenik:</w:t>
      </w:r>
    </w:p>
    <w:p w14:paraId="2AF2196A" w14:textId="77777777" w:rsidR="00B600A6" w:rsidRDefault="00B600A6">
      <w:pPr>
        <w:pStyle w:val="box468252"/>
        <w:shd w:val="clear" w:color="auto" w:fill="FFFFFF"/>
        <w:suppressAutoHyphens/>
        <w:spacing w:before="0" w:beforeAutospacing="0" w:after="0" w:afterAutospacing="0"/>
        <w:ind w:left="360" w:hanging="360"/>
        <w:textAlignment w:val="baseline"/>
        <w:rPr>
          <w:b/>
          <w:bCs/>
          <w:color w:val="231F20"/>
        </w:rPr>
      </w:pPr>
    </w:p>
    <w:p w14:paraId="24C5BAF2" w14:textId="77777777" w:rsidR="00B600A6" w:rsidRDefault="00B600A6">
      <w:pPr>
        <w:pStyle w:val="Naslov2"/>
        <w:numPr>
          <w:ilvl w:val="0"/>
          <w:numId w:val="0"/>
        </w:numPr>
        <w:suppressAutoHyphens/>
        <w:spacing w:before="0" w:line="240"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2.1.Korisnik kategorije kućanstvo</w:t>
      </w:r>
    </w:p>
    <w:p w14:paraId="50A19BAC" w14:textId="77777777" w:rsidR="00B600A6" w:rsidRDefault="00B600A6">
      <w:pPr>
        <w:suppressAutoHyphens/>
        <w:spacing w:after="0" w:line="240" w:lineRule="auto"/>
        <w:rPr>
          <w:rFonts w:ascii="Times New Roman" w:eastAsia="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5103"/>
        <w:gridCol w:w="1088"/>
        <w:gridCol w:w="1038"/>
        <w:gridCol w:w="1276"/>
      </w:tblGrid>
      <w:tr w:rsidR="00B600A6" w14:paraId="18CDAAF1" w14:textId="77777777">
        <w:tc>
          <w:tcPr>
            <w:tcW w:w="846" w:type="dxa"/>
            <w:shd w:val="clear" w:color="auto" w:fill="auto"/>
          </w:tcPr>
          <w:p w14:paraId="62DDF371" w14:textId="77777777" w:rsidR="00B600A6" w:rsidRDefault="00B600A6">
            <w:pPr>
              <w:pStyle w:val="box468252"/>
              <w:suppressAutoHyphens/>
              <w:spacing w:before="0" w:beforeAutospacing="0" w:after="48" w:afterAutospacing="0"/>
              <w:textAlignment w:val="baseline"/>
            </w:pPr>
            <w:r>
              <w:rPr>
                <w:b/>
                <w:bCs/>
                <w:color w:val="231F20"/>
              </w:rPr>
              <w:t>Redni broj</w:t>
            </w:r>
          </w:p>
        </w:tc>
        <w:tc>
          <w:tcPr>
            <w:tcW w:w="5103" w:type="dxa"/>
            <w:shd w:val="clear" w:color="auto" w:fill="auto"/>
          </w:tcPr>
          <w:p w14:paraId="77D12DB5" w14:textId="77777777" w:rsidR="00B600A6" w:rsidRDefault="00B600A6">
            <w:pPr>
              <w:pStyle w:val="box468252"/>
              <w:suppressAutoHyphens/>
              <w:spacing w:before="0" w:beforeAutospacing="0" w:after="48" w:afterAutospacing="0"/>
              <w:textAlignment w:val="baseline"/>
            </w:pPr>
            <w:r>
              <w:rPr>
                <w:b/>
                <w:bCs/>
                <w:color w:val="231F20"/>
              </w:rPr>
              <w:t>Naziv</w:t>
            </w:r>
          </w:p>
        </w:tc>
        <w:tc>
          <w:tcPr>
            <w:tcW w:w="1088" w:type="dxa"/>
            <w:shd w:val="clear" w:color="auto" w:fill="auto"/>
          </w:tcPr>
          <w:p w14:paraId="2ED37C08" w14:textId="77777777" w:rsidR="00B600A6" w:rsidRDefault="00B600A6">
            <w:pPr>
              <w:pStyle w:val="box468252"/>
              <w:suppressAutoHyphens/>
              <w:spacing w:before="0" w:beforeAutospacing="0" w:after="48" w:afterAutospacing="0"/>
              <w:textAlignment w:val="baseline"/>
              <w:rPr>
                <w:b/>
                <w:bCs/>
                <w:color w:val="231F20"/>
              </w:rPr>
            </w:pPr>
            <w:r>
              <w:rPr>
                <w:b/>
                <w:bCs/>
                <w:color w:val="231F20"/>
              </w:rPr>
              <w:t>Iznos</w:t>
            </w:r>
          </w:p>
          <w:p w14:paraId="0249FB61" w14:textId="77777777" w:rsidR="00B600A6" w:rsidRDefault="00B600A6">
            <w:pPr>
              <w:pStyle w:val="box468252"/>
              <w:suppressAutoHyphens/>
              <w:spacing w:before="0" w:beforeAutospacing="0" w:after="48" w:afterAutospacing="0"/>
              <w:textAlignment w:val="baseline"/>
            </w:pPr>
            <w:r>
              <w:rPr>
                <w:b/>
                <w:bCs/>
                <w:color w:val="231F20"/>
              </w:rPr>
              <w:t>(EUR)</w:t>
            </w:r>
          </w:p>
        </w:tc>
        <w:tc>
          <w:tcPr>
            <w:tcW w:w="1038" w:type="dxa"/>
            <w:shd w:val="clear" w:color="auto" w:fill="auto"/>
          </w:tcPr>
          <w:p w14:paraId="6B3D5BC1" w14:textId="77777777" w:rsidR="00B600A6" w:rsidRDefault="00B600A6">
            <w:pPr>
              <w:pStyle w:val="box468252"/>
              <w:suppressAutoHyphens/>
              <w:spacing w:before="0" w:beforeAutospacing="0" w:after="48" w:afterAutospacing="0"/>
              <w:textAlignment w:val="baseline"/>
              <w:rPr>
                <w:b/>
                <w:bCs/>
                <w:color w:val="231F20"/>
              </w:rPr>
            </w:pPr>
            <w:r>
              <w:rPr>
                <w:b/>
                <w:bCs/>
                <w:color w:val="231F20"/>
              </w:rPr>
              <w:t>PDV (13 %)</w:t>
            </w:r>
          </w:p>
          <w:p w14:paraId="2BF5D8B4" w14:textId="77777777" w:rsidR="00B600A6" w:rsidRDefault="00B600A6">
            <w:pPr>
              <w:pStyle w:val="box468252"/>
              <w:suppressAutoHyphens/>
              <w:spacing w:before="0" w:beforeAutospacing="0" w:after="48" w:afterAutospacing="0"/>
              <w:textAlignment w:val="baseline"/>
            </w:pPr>
            <w:r>
              <w:rPr>
                <w:b/>
                <w:bCs/>
                <w:color w:val="231F20"/>
              </w:rPr>
              <w:t>(EUR)</w:t>
            </w:r>
          </w:p>
        </w:tc>
        <w:tc>
          <w:tcPr>
            <w:tcW w:w="1276" w:type="dxa"/>
            <w:shd w:val="clear" w:color="auto" w:fill="auto"/>
          </w:tcPr>
          <w:p w14:paraId="118736DA" w14:textId="77777777" w:rsidR="00B600A6" w:rsidRDefault="00B600A6">
            <w:pPr>
              <w:pStyle w:val="box468252"/>
              <w:suppressAutoHyphens/>
              <w:spacing w:before="0" w:beforeAutospacing="0" w:after="48" w:afterAutospacing="0"/>
              <w:textAlignment w:val="baseline"/>
              <w:rPr>
                <w:b/>
                <w:bCs/>
                <w:color w:val="231F20"/>
              </w:rPr>
            </w:pPr>
            <w:r>
              <w:rPr>
                <w:b/>
                <w:bCs/>
                <w:color w:val="231F20"/>
              </w:rPr>
              <w:t>Ukupno</w:t>
            </w:r>
          </w:p>
          <w:p w14:paraId="0B500B49" w14:textId="77777777" w:rsidR="00B600A6" w:rsidRDefault="00B600A6">
            <w:pPr>
              <w:pStyle w:val="box468252"/>
              <w:suppressAutoHyphens/>
              <w:spacing w:before="0" w:beforeAutospacing="0" w:after="48" w:afterAutospacing="0"/>
              <w:textAlignment w:val="baseline"/>
            </w:pPr>
            <w:r>
              <w:rPr>
                <w:b/>
                <w:bCs/>
                <w:color w:val="231F20"/>
              </w:rPr>
              <w:t>(EUR)</w:t>
            </w:r>
          </w:p>
        </w:tc>
      </w:tr>
      <w:tr w:rsidR="00B600A6" w14:paraId="0569B386" w14:textId="77777777">
        <w:tc>
          <w:tcPr>
            <w:tcW w:w="846" w:type="dxa"/>
            <w:shd w:val="clear" w:color="auto" w:fill="auto"/>
          </w:tcPr>
          <w:p w14:paraId="2523949A" w14:textId="77777777" w:rsidR="00B600A6" w:rsidRDefault="00B600A6">
            <w:pPr>
              <w:pStyle w:val="box468252"/>
              <w:suppressAutoHyphens/>
              <w:spacing w:before="0" w:beforeAutospacing="0" w:after="48" w:afterAutospacing="0"/>
              <w:textAlignment w:val="baseline"/>
            </w:pPr>
            <w:r>
              <w:rPr>
                <w:color w:val="231F20"/>
              </w:rPr>
              <w:t>1.</w:t>
            </w:r>
          </w:p>
        </w:tc>
        <w:tc>
          <w:tcPr>
            <w:tcW w:w="5103" w:type="dxa"/>
            <w:shd w:val="clear" w:color="auto" w:fill="auto"/>
          </w:tcPr>
          <w:p w14:paraId="6108A27F" w14:textId="77777777" w:rsidR="00B600A6" w:rsidRDefault="00B600A6">
            <w:pPr>
              <w:pStyle w:val="box468252"/>
              <w:suppressAutoHyphens/>
              <w:spacing w:before="0" w:beforeAutospacing="0" w:after="48" w:afterAutospacing="0"/>
              <w:textAlignment w:val="baseline"/>
            </w:pPr>
            <w:r>
              <w:t>Cijena obavezne minimalne javne usluge</w:t>
            </w:r>
          </w:p>
        </w:tc>
        <w:tc>
          <w:tcPr>
            <w:tcW w:w="1088" w:type="dxa"/>
            <w:shd w:val="clear" w:color="auto" w:fill="auto"/>
          </w:tcPr>
          <w:p w14:paraId="234ED813" w14:textId="68F3C300" w:rsidR="00B600A6" w:rsidRDefault="00B600A6">
            <w:pPr>
              <w:pStyle w:val="box468252"/>
              <w:suppressAutoHyphens/>
              <w:spacing w:before="0" w:beforeAutospacing="0" w:after="48" w:afterAutospacing="0"/>
              <w:textAlignment w:val="baseline"/>
            </w:pPr>
            <w:r>
              <w:rPr>
                <w:color w:val="231F20"/>
              </w:rPr>
              <w:t>6,</w:t>
            </w:r>
            <w:r w:rsidR="003D0621">
              <w:rPr>
                <w:color w:val="231F20"/>
              </w:rPr>
              <w:t>11</w:t>
            </w:r>
          </w:p>
        </w:tc>
        <w:tc>
          <w:tcPr>
            <w:tcW w:w="1038" w:type="dxa"/>
            <w:shd w:val="clear" w:color="auto" w:fill="auto"/>
          </w:tcPr>
          <w:p w14:paraId="22C426FF" w14:textId="77777777" w:rsidR="00B600A6" w:rsidRDefault="00B600A6">
            <w:pPr>
              <w:pStyle w:val="box468252"/>
              <w:suppressAutoHyphens/>
              <w:spacing w:before="0" w:beforeAutospacing="0" w:after="48" w:afterAutospacing="0"/>
              <w:textAlignment w:val="baseline"/>
            </w:pPr>
            <w:r>
              <w:rPr>
                <w:color w:val="231F20"/>
              </w:rPr>
              <w:t>0,79</w:t>
            </w:r>
          </w:p>
        </w:tc>
        <w:tc>
          <w:tcPr>
            <w:tcW w:w="1276" w:type="dxa"/>
            <w:shd w:val="clear" w:color="auto" w:fill="auto"/>
          </w:tcPr>
          <w:p w14:paraId="5A18D329" w14:textId="77777777" w:rsidR="00B600A6" w:rsidRDefault="00B600A6">
            <w:pPr>
              <w:pStyle w:val="box468252"/>
              <w:suppressAutoHyphens/>
              <w:spacing w:before="0" w:beforeAutospacing="0" w:after="48" w:afterAutospacing="0"/>
              <w:textAlignment w:val="baseline"/>
            </w:pPr>
            <w:r>
              <w:rPr>
                <w:color w:val="231F20"/>
              </w:rPr>
              <w:t>6,90</w:t>
            </w:r>
          </w:p>
        </w:tc>
      </w:tr>
      <w:tr w:rsidR="00B600A6" w14:paraId="530413AE" w14:textId="77777777">
        <w:tc>
          <w:tcPr>
            <w:tcW w:w="846" w:type="dxa"/>
            <w:shd w:val="clear" w:color="auto" w:fill="auto"/>
          </w:tcPr>
          <w:p w14:paraId="4318D72C" w14:textId="77777777" w:rsidR="00B600A6" w:rsidRDefault="00B600A6">
            <w:pPr>
              <w:pStyle w:val="box468252"/>
              <w:suppressAutoHyphens/>
              <w:spacing w:before="0" w:beforeAutospacing="0" w:after="48" w:afterAutospacing="0"/>
              <w:textAlignment w:val="baseline"/>
            </w:pPr>
            <w:r>
              <w:rPr>
                <w:color w:val="231F20"/>
              </w:rPr>
              <w:t>2.</w:t>
            </w:r>
          </w:p>
        </w:tc>
        <w:tc>
          <w:tcPr>
            <w:tcW w:w="5103" w:type="dxa"/>
            <w:shd w:val="clear" w:color="auto" w:fill="auto"/>
          </w:tcPr>
          <w:p w14:paraId="2B03955E" w14:textId="77777777" w:rsidR="00B600A6" w:rsidRDefault="00B600A6">
            <w:pPr>
              <w:pStyle w:val="box468252"/>
              <w:shd w:val="clear" w:color="auto" w:fill="FFFFFF"/>
              <w:suppressAutoHyphens/>
              <w:spacing w:before="0" w:beforeAutospacing="0" w:after="48" w:afterAutospacing="0"/>
              <w:textAlignment w:val="baseline"/>
            </w:pPr>
            <w:r>
              <w:t>Cijena za 120 litara predanog miješanog</w:t>
            </w:r>
          </w:p>
          <w:p w14:paraId="4385FD95" w14:textId="77777777" w:rsidR="00B600A6" w:rsidRDefault="00B600A6">
            <w:pPr>
              <w:pStyle w:val="box468252"/>
              <w:shd w:val="clear" w:color="auto" w:fill="FFFFFF"/>
              <w:suppressAutoHyphens/>
              <w:spacing w:before="0" w:beforeAutospacing="0" w:after="48" w:afterAutospacing="0"/>
              <w:textAlignment w:val="baseline"/>
            </w:pPr>
            <w:r>
              <w:t>komunalnog otpada (MKO) - jedna predaja</w:t>
            </w:r>
          </w:p>
        </w:tc>
        <w:tc>
          <w:tcPr>
            <w:tcW w:w="1088" w:type="dxa"/>
            <w:shd w:val="clear" w:color="auto" w:fill="auto"/>
          </w:tcPr>
          <w:p w14:paraId="065E0D15" w14:textId="77777777" w:rsidR="00B600A6" w:rsidRDefault="00B600A6">
            <w:pPr>
              <w:pStyle w:val="box468252"/>
              <w:suppressAutoHyphens/>
              <w:spacing w:before="0" w:beforeAutospacing="0" w:after="48" w:afterAutospacing="0"/>
              <w:textAlignment w:val="baseline"/>
            </w:pPr>
            <w:r>
              <w:rPr>
                <w:color w:val="231F20"/>
              </w:rPr>
              <w:t>1,59</w:t>
            </w:r>
          </w:p>
        </w:tc>
        <w:tc>
          <w:tcPr>
            <w:tcW w:w="1038" w:type="dxa"/>
            <w:shd w:val="clear" w:color="auto" w:fill="auto"/>
          </w:tcPr>
          <w:p w14:paraId="61288AD6" w14:textId="77777777" w:rsidR="00B600A6" w:rsidRDefault="00B600A6">
            <w:pPr>
              <w:pStyle w:val="box468252"/>
              <w:suppressAutoHyphens/>
              <w:spacing w:before="0" w:beforeAutospacing="0" w:after="48" w:afterAutospacing="0"/>
              <w:textAlignment w:val="baseline"/>
            </w:pPr>
            <w:r>
              <w:rPr>
                <w:color w:val="231F20"/>
              </w:rPr>
              <w:t>0,21</w:t>
            </w:r>
          </w:p>
        </w:tc>
        <w:tc>
          <w:tcPr>
            <w:tcW w:w="1276" w:type="dxa"/>
            <w:shd w:val="clear" w:color="auto" w:fill="auto"/>
          </w:tcPr>
          <w:p w14:paraId="6B631406" w14:textId="77777777" w:rsidR="00B600A6" w:rsidRDefault="00B600A6">
            <w:pPr>
              <w:pStyle w:val="box468252"/>
              <w:suppressAutoHyphens/>
              <w:spacing w:before="0" w:beforeAutospacing="0" w:after="48" w:afterAutospacing="0"/>
              <w:textAlignment w:val="baseline"/>
            </w:pPr>
            <w:r>
              <w:rPr>
                <w:color w:val="231F20"/>
              </w:rPr>
              <w:t>1,80</w:t>
            </w:r>
          </w:p>
        </w:tc>
      </w:tr>
    </w:tbl>
    <w:p w14:paraId="5E73CA75" w14:textId="77777777" w:rsidR="00B600A6" w:rsidRDefault="00B600A6">
      <w:pPr>
        <w:suppressAutoHyphens/>
        <w:spacing w:line="240" w:lineRule="auto"/>
        <w:rPr>
          <w:rFonts w:ascii="Times New Roman" w:eastAsia="Times New Roman" w:hAnsi="Times New Roman" w:cs="Times New Roman"/>
          <w:sz w:val="24"/>
          <w:szCs w:val="24"/>
        </w:rPr>
      </w:pPr>
    </w:p>
    <w:p w14:paraId="1B2AD8F3" w14:textId="77777777" w:rsidR="00B600A6" w:rsidRDefault="00B600A6">
      <w:pPr>
        <w:pStyle w:val="Naslov2"/>
        <w:numPr>
          <w:ilvl w:val="0"/>
          <w:numId w:val="0"/>
        </w:numPr>
        <w:suppressAutoHyphens/>
        <w:spacing w:line="240" w:lineRule="auto"/>
        <w:ind w:left="576" w:hanging="576"/>
        <w:rPr>
          <w:rFonts w:ascii="Times New Roman" w:eastAsia="Times New Roman" w:hAnsi="Times New Roman" w:cs="Times New Roman"/>
          <w:b/>
          <w:bCs/>
          <w:color w:val="auto"/>
          <w:sz w:val="24"/>
          <w:szCs w:val="24"/>
        </w:rPr>
      </w:pPr>
      <w:bookmarkStart w:id="0" w:name="_Toc90453498"/>
      <w:r>
        <w:rPr>
          <w:rFonts w:ascii="Times New Roman" w:eastAsia="Times New Roman" w:hAnsi="Times New Roman" w:cs="Times New Roman"/>
          <w:b/>
          <w:bCs/>
          <w:color w:val="auto"/>
          <w:sz w:val="24"/>
          <w:szCs w:val="24"/>
        </w:rPr>
        <w:t>2.2.Korisnik kategorije koji nije kućanstvo</w:t>
      </w:r>
      <w:bookmarkEnd w:id="0"/>
    </w:p>
    <w:p w14:paraId="55D1B213" w14:textId="77777777" w:rsidR="00B600A6" w:rsidRDefault="00B600A6">
      <w:pPr>
        <w:suppressAutoHyphens/>
        <w:spacing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5103"/>
        <w:gridCol w:w="1129"/>
        <w:gridCol w:w="997"/>
        <w:gridCol w:w="1275"/>
      </w:tblGrid>
      <w:tr w:rsidR="00B600A6" w14:paraId="203C6183" w14:textId="77777777">
        <w:tc>
          <w:tcPr>
            <w:tcW w:w="846" w:type="dxa"/>
            <w:shd w:val="clear" w:color="auto" w:fill="auto"/>
          </w:tcPr>
          <w:p w14:paraId="68A96DE6" w14:textId="77777777" w:rsidR="00B600A6" w:rsidRDefault="00B600A6">
            <w:pPr>
              <w:pStyle w:val="box468252"/>
              <w:suppressAutoHyphens/>
              <w:spacing w:before="0" w:beforeAutospacing="0" w:after="48" w:afterAutospacing="0"/>
              <w:textAlignment w:val="baseline"/>
            </w:pPr>
            <w:r>
              <w:rPr>
                <w:b/>
                <w:bCs/>
                <w:color w:val="231F20"/>
              </w:rPr>
              <w:t>Redni broj</w:t>
            </w:r>
          </w:p>
        </w:tc>
        <w:tc>
          <w:tcPr>
            <w:tcW w:w="5103" w:type="dxa"/>
            <w:shd w:val="clear" w:color="auto" w:fill="auto"/>
          </w:tcPr>
          <w:p w14:paraId="46E9F914" w14:textId="77777777" w:rsidR="00B600A6" w:rsidRDefault="00B600A6">
            <w:pPr>
              <w:pStyle w:val="box468252"/>
              <w:suppressAutoHyphens/>
              <w:spacing w:before="0" w:beforeAutospacing="0" w:after="48" w:afterAutospacing="0"/>
              <w:textAlignment w:val="baseline"/>
            </w:pPr>
            <w:r>
              <w:rPr>
                <w:b/>
                <w:bCs/>
                <w:color w:val="231F20"/>
              </w:rPr>
              <w:t>Naziv</w:t>
            </w:r>
          </w:p>
        </w:tc>
        <w:tc>
          <w:tcPr>
            <w:tcW w:w="1129" w:type="dxa"/>
            <w:shd w:val="clear" w:color="auto" w:fill="auto"/>
          </w:tcPr>
          <w:p w14:paraId="19055D05" w14:textId="77777777" w:rsidR="00B600A6" w:rsidRDefault="00B600A6">
            <w:pPr>
              <w:pStyle w:val="box468252"/>
              <w:suppressAutoHyphens/>
              <w:spacing w:before="0" w:beforeAutospacing="0" w:after="48" w:afterAutospacing="0"/>
              <w:textAlignment w:val="baseline"/>
              <w:rPr>
                <w:b/>
                <w:bCs/>
                <w:color w:val="231F20"/>
              </w:rPr>
            </w:pPr>
            <w:r>
              <w:rPr>
                <w:b/>
                <w:bCs/>
                <w:color w:val="231F20"/>
              </w:rPr>
              <w:t>Iznos</w:t>
            </w:r>
          </w:p>
          <w:p w14:paraId="7DCE39BE" w14:textId="77777777" w:rsidR="00B600A6" w:rsidRDefault="00B600A6">
            <w:pPr>
              <w:pStyle w:val="box468252"/>
              <w:suppressAutoHyphens/>
              <w:spacing w:before="0" w:beforeAutospacing="0" w:after="48" w:afterAutospacing="0"/>
              <w:textAlignment w:val="baseline"/>
            </w:pPr>
            <w:r>
              <w:rPr>
                <w:b/>
                <w:bCs/>
                <w:color w:val="231F20"/>
              </w:rPr>
              <w:t>(EUR)</w:t>
            </w:r>
          </w:p>
        </w:tc>
        <w:tc>
          <w:tcPr>
            <w:tcW w:w="997" w:type="dxa"/>
            <w:shd w:val="clear" w:color="auto" w:fill="auto"/>
          </w:tcPr>
          <w:p w14:paraId="6B8A1F50" w14:textId="77777777" w:rsidR="00B600A6" w:rsidRDefault="00B600A6">
            <w:pPr>
              <w:pStyle w:val="box468252"/>
              <w:suppressAutoHyphens/>
              <w:spacing w:before="0" w:beforeAutospacing="0" w:after="48" w:afterAutospacing="0"/>
              <w:textAlignment w:val="baseline"/>
              <w:rPr>
                <w:b/>
                <w:bCs/>
                <w:color w:val="231F20"/>
              </w:rPr>
            </w:pPr>
            <w:r>
              <w:rPr>
                <w:b/>
                <w:bCs/>
                <w:color w:val="231F20"/>
              </w:rPr>
              <w:t>PDV (13 %)</w:t>
            </w:r>
          </w:p>
          <w:p w14:paraId="2CE0327B" w14:textId="77777777" w:rsidR="00B600A6" w:rsidRDefault="00B600A6">
            <w:pPr>
              <w:pStyle w:val="box468252"/>
              <w:suppressAutoHyphens/>
              <w:spacing w:before="0" w:beforeAutospacing="0" w:after="48" w:afterAutospacing="0"/>
              <w:textAlignment w:val="baseline"/>
            </w:pPr>
            <w:r>
              <w:rPr>
                <w:b/>
                <w:bCs/>
                <w:color w:val="231F20"/>
              </w:rPr>
              <w:t>(EUR)</w:t>
            </w:r>
          </w:p>
        </w:tc>
        <w:tc>
          <w:tcPr>
            <w:tcW w:w="1275" w:type="dxa"/>
            <w:shd w:val="clear" w:color="auto" w:fill="auto"/>
          </w:tcPr>
          <w:p w14:paraId="2FFD5A3F" w14:textId="77777777" w:rsidR="00B600A6" w:rsidRDefault="00B600A6">
            <w:pPr>
              <w:pStyle w:val="box468252"/>
              <w:suppressAutoHyphens/>
              <w:spacing w:before="0" w:beforeAutospacing="0" w:after="48" w:afterAutospacing="0"/>
              <w:textAlignment w:val="baseline"/>
              <w:rPr>
                <w:b/>
                <w:bCs/>
                <w:color w:val="231F20"/>
              </w:rPr>
            </w:pPr>
            <w:r>
              <w:rPr>
                <w:b/>
                <w:bCs/>
                <w:color w:val="231F20"/>
              </w:rPr>
              <w:t>Ukupno</w:t>
            </w:r>
          </w:p>
          <w:p w14:paraId="257BFA41" w14:textId="77777777" w:rsidR="00B600A6" w:rsidRDefault="00B600A6">
            <w:pPr>
              <w:pStyle w:val="box468252"/>
              <w:suppressAutoHyphens/>
              <w:spacing w:before="0" w:beforeAutospacing="0" w:after="48" w:afterAutospacing="0"/>
              <w:textAlignment w:val="baseline"/>
            </w:pPr>
            <w:r>
              <w:rPr>
                <w:b/>
                <w:bCs/>
                <w:color w:val="231F20"/>
              </w:rPr>
              <w:t>(EUR)</w:t>
            </w:r>
          </w:p>
        </w:tc>
      </w:tr>
      <w:tr w:rsidR="00B600A6" w14:paraId="2A140434" w14:textId="77777777">
        <w:tc>
          <w:tcPr>
            <w:tcW w:w="846" w:type="dxa"/>
            <w:shd w:val="clear" w:color="auto" w:fill="auto"/>
          </w:tcPr>
          <w:p w14:paraId="4775A685" w14:textId="77777777" w:rsidR="00B600A6" w:rsidRDefault="00B600A6">
            <w:pPr>
              <w:pStyle w:val="box468252"/>
              <w:suppressAutoHyphens/>
              <w:spacing w:before="0" w:beforeAutospacing="0" w:after="48" w:afterAutospacing="0"/>
              <w:textAlignment w:val="baseline"/>
            </w:pPr>
            <w:r>
              <w:rPr>
                <w:color w:val="231F20"/>
              </w:rPr>
              <w:t>1.</w:t>
            </w:r>
          </w:p>
        </w:tc>
        <w:tc>
          <w:tcPr>
            <w:tcW w:w="5103" w:type="dxa"/>
            <w:shd w:val="clear" w:color="auto" w:fill="auto"/>
          </w:tcPr>
          <w:p w14:paraId="0782248C" w14:textId="77777777" w:rsidR="00B600A6" w:rsidRDefault="00B600A6">
            <w:pPr>
              <w:pStyle w:val="box468252"/>
              <w:suppressAutoHyphens/>
              <w:spacing w:before="0" w:beforeAutospacing="0" w:after="48" w:afterAutospacing="0"/>
              <w:textAlignment w:val="baseline"/>
            </w:pPr>
            <w:r>
              <w:t>Cijena obavezne minimalne javne usluge</w:t>
            </w:r>
          </w:p>
        </w:tc>
        <w:tc>
          <w:tcPr>
            <w:tcW w:w="1129" w:type="dxa"/>
            <w:shd w:val="clear" w:color="auto" w:fill="auto"/>
          </w:tcPr>
          <w:p w14:paraId="26C0B560" w14:textId="77777777" w:rsidR="00B600A6" w:rsidRDefault="00B600A6">
            <w:pPr>
              <w:pStyle w:val="box468252"/>
              <w:suppressAutoHyphens/>
              <w:spacing w:before="0" w:beforeAutospacing="0" w:after="48" w:afterAutospacing="0"/>
              <w:textAlignment w:val="baseline"/>
            </w:pPr>
            <w:r>
              <w:rPr>
                <w:color w:val="231F20"/>
              </w:rPr>
              <w:t>7,96</w:t>
            </w:r>
          </w:p>
        </w:tc>
        <w:tc>
          <w:tcPr>
            <w:tcW w:w="997" w:type="dxa"/>
            <w:shd w:val="clear" w:color="auto" w:fill="auto"/>
          </w:tcPr>
          <w:p w14:paraId="49FAE54A" w14:textId="77777777" w:rsidR="00B600A6" w:rsidRDefault="00B600A6">
            <w:pPr>
              <w:pStyle w:val="box468252"/>
              <w:suppressAutoHyphens/>
              <w:spacing w:before="0" w:beforeAutospacing="0" w:after="48" w:afterAutospacing="0"/>
              <w:textAlignment w:val="baseline"/>
            </w:pPr>
            <w:r>
              <w:rPr>
                <w:color w:val="231F20"/>
              </w:rPr>
              <w:t>1,04</w:t>
            </w:r>
          </w:p>
        </w:tc>
        <w:tc>
          <w:tcPr>
            <w:tcW w:w="1275" w:type="dxa"/>
            <w:shd w:val="clear" w:color="auto" w:fill="auto"/>
          </w:tcPr>
          <w:p w14:paraId="393B1150" w14:textId="77777777" w:rsidR="00B600A6" w:rsidRDefault="00B600A6">
            <w:pPr>
              <w:pStyle w:val="box468252"/>
              <w:suppressAutoHyphens/>
              <w:spacing w:before="0" w:beforeAutospacing="0" w:after="48" w:afterAutospacing="0"/>
              <w:textAlignment w:val="baseline"/>
            </w:pPr>
            <w:r>
              <w:rPr>
                <w:color w:val="231F20"/>
              </w:rPr>
              <w:t>9,00</w:t>
            </w:r>
          </w:p>
        </w:tc>
      </w:tr>
      <w:tr w:rsidR="00B600A6" w14:paraId="19877C20" w14:textId="77777777">
        <w:tc>
          <w:tcPr>
            <w:tcW w:w="846" w:type="dxa"/>
            <w:shd w:val="clear" w:color="auto" w:fill="auto"/>
          </w:tcPr>
          <w:p w14:paraId="5CF20612" w14:textId="77777777" w:rsidR="00B600A6" w:rsidRDefault="00B600A6">
            <w:pPr>
              <w:pStyle w:val="box468252"/>
              <w:suppressAutoHyphens/>
              <w:spacing w:before="0" w:beforeAutospacing="0" w:after="48" w:afterAutospacing="0"/>
              <w:textAlignment w:val="baseline"/>
            </w:pPr>
            <w:r>
              <w:rPr>
                <w:color w:val="231F20"/>
              </w:rPr>
              <w:t>2.</w:t>
            </w:r>
          </w:p>
        </w:tc>
        <w:tc>
          <w:tcPr>
            <w:tcW w:w="5103" w:type="dxa"/>
            <w:shd w:val="clear" w:color="auto" w:fill="auto"/>
          </w:tcPr>
          <w:p w14:paraId="4BDFCFCF" w14:textId="77777777" w:rsidR="00B600A6" w:rsidRDefault="00B600A6">
            <w:pPr>
              <w:pStyle w:val="box468252"/>
              <w:shd w:val="clear" w:color="auto" w:fill="FFFFFF"/>
              <w:suppressAutoHyphens/>
              <w:spacing w:before="0" w:beforeAutospacing="0" w:after="48" w:afterAutospacing="0"/>
              <w:textAlignment w:val="baseline"/>
            </w:pPr>
            <w:r>
              <w:t>Cijena za 120 litara predanog miješanog</w:t>
            </w:r>
          </w:p>
          <w:p w14:paraId="643407EC" w14:textId="77777777" w:rsidR="00B600A6" w:rsidRDefault="00B600A6">
            <w:pPr>
              <w:pStyle w:val="box468252"/>
              <w:shd w:val="clear" w:color="auto" w:fill="FFFFFF"/>
              <w:suppressAutoHyphens/>
              <w:spacing w:before="0" w:beforeAutospacing="0" w:after="48" w:afterAutospacing="0"/>
              <w:textAlignment w:val="baseline"/>
            </w:pPr>
            <w:r>
              <w:t>komunalnog otpada (MKO) - jedna predaja</w:t>
            </w:r>
          </w:p>
        </w:tc>
        <w:tc>
          <w:tcPr>
            <w:tcW w:w="1129" w:type="dxa"/>
            <w:shd w:val="clear" w:color="auto" w:fill="auto"/>
          </w:tcPr>
          <w:p w14:paraId="3B20CCC4" w14:textId="77777777" w:rsidR="00B600A6" w:rsidRDefault="00B600A6">
            <w:pPr>
              <w:pStyle w:val="box468252"/>
              <w:suppressAutoHyphens/>
              <w:spacing w:before="0" w:beforeAutospacing="0" w:after="48" w:afterAutospacing="0"/>
              <w:textAlignment w:val="baseline"/>
            </w:pPr>
            <w:r>
              <w:rPr>
                <w:color w:val="231F20"/>
              </w:rPr>
              <w:t>2,10</w:t>
            </w:r>
          </w:p>
        </w:tc>
        <w:tc>
          <w:tcPr>
            <w:tcW w:w="997" w:type="dxa"/>
            <w:shd w:val="clear" w:color="auto" w:fill="auto"/>
          </w:tcPr>
          <w:p w14:paraId="745C417C" w14:textId="77777777" w:rsidR="00B600A6" w:rsidRDefault="00B600A6">
            <w:pPr>
              <w:pStyle w:val="box468252"/>
              <w:suppressAutoHyphens/>
              <w:spacing w:before="0" w:beforeAutospacing="0" w:after="48" w:afterAutospacing="0"/>
              <w:textAlignment w:val="baseline"/>
            </w:pPr>
            <w:r>
              <w:rPr>
                <w:color w:val="231F20"/>
              </w:rPr>
              <w:t>0,27</w:t>
            </w:r>
          </w:p>
        </w:tc>
        <w:tc>
          <w:tcPr>
            <w:tcW w:w="1275" w:type="dxa"/>
            <w:shd w:val="clear" w:color="auto" w:fill="auto"/>
          </w:tcPr>
          <w:p w14:paraId="12491A6D" w14:textId="77777777" w:rsidR="00B600A6" w:rsidRDefault="00B600A6">
            <w:pPr>
              <w:pStyle w:val="box468252"/>
              <w:suppressAutoHyphens/>
              <w:spacing w:before="0" w:beforeAutospacing="0" w:after="48" w:afterAutospacing="0"/>
              <w:textAlignment w:val="baseline"/>
            </w:pPr>
            <w:r>
              <w:rPr>
                <w:color w:val="231F20"/>
              </w:rPr>
              <w:t>2,37</w:t>
            </w:r>
          </w:p>
        </w:tc>
      </w:tr>
    </w:tbl>
    <w:p w14:paraId="7DB197C3" w14:textId="77777777" w:rsidR="00B600A6" w:rsidRDefault="00B600A6">
      <w:pPr>
        <w:suppressAutoHyphens/>
        <w:spacing w:line="240" w:lineRule="auto"/>
        <w:rPr>
          <w:rFonts w:ascii="Times New Roman" w:eastAsia="Times New Roman" w:hAnsi="Times New Roman" w:cs="Times New Roman"/>
          <w:sz w:val="24"/>
          <w:szCs w:val="24"/>
        </w:rPr>
      </w:pPr>
    </w:p>
    <w:p w14:paraId="21180043" w14:textId="77777777" w:rsidR="00B600A6" w:rsidRDefault="00B600A6">
      <w:pPr>
        <w:pStyle w:val="Naslov2"/>
        <w:numPr>
          <w:ilvl w:val="0"/>
          <w:numId w:val="0"/>
        </w:numPr>
        <w:suppressAutoHyphens/>
        <w:spacing w:line="240" w:lineRule="auto"/>
        <w:ind w:left="576" w:hanging="576"/>
        <w:rPr>
          <w:rFonts w:ascii="Times New Roman" w:eastAsia="Times New Roman" w:hAnsi="Times New Roman" w:cs="Times New Roman"/>
          <w:b/>
          <w:bCs/>
          <w:sz w:val="24"/>
          <w:szCs w:val="24"/>
        </w:rPr>
      </w:pPr>
      <w:bookmarkStart w:id="1" w:name="_Toc90453499"/>
      <w:r>
        <w:rPr>
          <w:rFonts w:ascii="Times New Roman" w:eastAsia="Times New Roman" w:hAnsi="Times New Roman" w:cs="Times New Roman"/>
          <w:b/>
          <w:bCs/>
          <w:color w:val="auto"/>
          <w:sz w:val="24"/>
          <w:szCs w:val="24"/>
        </w:rPr>
        <w:t>2.3.Kriteriji za umanjenje</w:t>
      </w:r>
      <w:bookmarkEnd w:id="1"/>
    </w:p>
    <w:p w14:paraId="30CEDDE3" w14:textId="77777777" w:rsidR="00B600A6" w:rsidRDefault="00B600A6">
      <w:pPr>
        <w:suppressAutoHyphens/>
        <w:spacing w:line="240" w:lineRule="auto"/>
        <w:rPr>
          <w:rFonts w:ascii="Times New Roman" w:eastAsia="Times New Roman" w:hAnsi="Times New Roman" w:cs="Times New Roman"/>
          <w:sz w:val="24"/>
          <w:szCs w:val="24"/>
        </w:rPr>
      </w:pPr>
    </w:p>
    <w:p w14:paraId="0B231540" w14:textId="77777777" w:rsidR="00B600A6" w:rsidRDefault="00B600A6">
      <w:pPr>
        <w:suppressAutoHyphen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Pravo na umanjenje cijene obavezne minimalne javne usluge, temeljem članka 73. % a o gospodarenju otpadom (NN 84/21 i 142/23) i članka 23. Odluke o načinu pružanja javne usluge sakupljanja komunalnog otpada na području Općine Promina ostvaruju korisnici kategorije kućanstvo koji kompostiraju biootpad. Cijena minimalne javne usluge umanjit će se na mjesečnom računu za 0,66 EUR bez PDV-a.</w:t>
      </w:r>
    </w:p>
    <w:p w14:paraId="5BF2EC2D"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p>
    <w:p w14:paraId="115B4F78" w14:textId="77777777" w:rsidR="00B600A6" w:rsidRDefault="00B600A6">
      <w:pPr>
        <w:pStyle w:val="box468252"/>
        <w:shd w:val="clear" w:color="auto" w:fill="FFFFFF"/>
        <w:suppressAutoHyphens/>
        <w:spacing w:before="0" w:beforeAutospacing="0" w:after="48" w:afterAutospacing="0"/>
        <w:textAlignment w:val="baseline"/>
        <w:rPr>
          <w:b/>
          <w:bCs/>
          <w:color w:val="231F20"/>
        </w:rPr>
      </w:pPr>
      <w:r>
        <w:rPr>
          <w:b/>
          <w:bCs/>
          <w:color w:val="231F20"/>
        </w:rPr>
        <w:t>3.Obrazloženje cijene</w:t>
      </w:r>
    </w:p>
    <w:p w14:paraId="77046F41" w14:textId="77777777" w:rsidR="00B600A6" w:rsidRDefault="00B600A6">
      <w:pPr>
        <w:pStyle w:val="box468252"/>
        <w:shd w:val="clear" w:color="auto" w:fill="FFFFFF"/>
        <w:suppressAutoHyphens/>
        <w:spacing w:before="0" w:beforeAutospacing="0" w:after="48" w:afterAutospacing="0"/>
        <w:textAlignment w:val="baseline"/>
        <w:rPr>
          <w:color w:val="231F20"/>
        </w:rPr>
      </w:pPr>
    </w:p>
    <w:p w14:paraId="002D0774"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Struktura cijene javne usluge sastoji se od cijene obavezne minimalne javne usluge i cijene za količinu predanog miješanog komunalno otpada. Cijena obavezne minimalne javne usluge na području Općine Promina utvrđena je Odlukom o načinu pružanja javne usluge sakupljanja komunalnog otpada na području Općine Promina, Općinskog vijeća Općine Promina (Službeno glasilo Općine Promina 1/2022) a iznosi:</w:t>
      </w:r>
    </w:p>
    <w:p w14:paraId="5A83A3E9"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p>
    <w:p w14:paraId="07341963" w14:textId="77777777" w:rsidR="00B600A6" w:rsidRDefault="00B600A6">
      <w:pPr>
        <w:pStyle w:val="Odlomakpopisa"/>
        <w:numPr>
          <w:ilvl w:val="0"/>
          <w:numId w:val="2"/>
        </w:numPr>
        <w:suppressAutoHyphens/>
        <w:spacing w:after="3" w:line="240" w:lineRule="auto"/>
        <w:ind w:left="426" w:right="57" w:hanging="284"/>
        <w:rPr>
          <w:sz w:val="24"/>
          <w:szCs w:val="24"/>
        </w:rPr>
      </w:pPr>
      <w:r>
        <w:rPr>
          <w:sz w:val="24"/>
          <w:szCs w:val="24"/>
        </w:rPr>
        <w:t xml:space="preserve">Cijena obavezne minimalne javne usluge na području Općine Promina jedinstvena je za sve korisnike iz kategorije kućanstvo te iznosi 6,90 EUR za 1 obračunsko razdoblje po korisniku. </w:t>
      </w:r>
    </w:p>
    <w:p w14:paraId="74BE9080" w14:textId="77777777" w:rsidR="00B600A6" w:rsidRDefault="00B600A6">
      <w:pPr>
        <w:pStyle w:val="Odlomakpopisa"/>
        <w:numPr>
          <w:ilvl w:val="0"/>
          <w:numId w:val="2"/>
        </w:numPr>
        <w:suppressAutoHyphens/>
        <w:spacing w:after="3" w:line="240" w:lineRule="auto"/>
        <w:ind w:left="426" w:right="57" w:hanging="284"/>
        <w:rPr>
          <w:sz w:val="24"/>
          <w:szCs w:val="24"/>
        </w:rPr>
      </w:pPr>
      <w:r>
        <w:rPr>
          <w:sz w:val="24"/>
          <w:szCs w:val="24"/>
        </w:rPr>
        <w:t>Cijena obavezne minimalne javne usluge na području Općine Promina jedinstvena je za sve korisnike iz kategorije koji nisu kućanstvo te iznosi 7,96 EUR za 1 obračunsko razdoblje po korisniku.</w:t>
      </w:r>
    </w:p>
    <w:p w14:paraId="4DBA7EC7" w14:textId="77777777" w:rsidR="00B600A6" w:rsidRDefault="00B600A6">
      <w:pPr>
        <w:suppressAutoHyphens/>
        <w:spacing w:after="3" w:line="240" w:lineRule="auto"/>
        <w:ind w:right="57"/>
        <w:jc w:val="both"/>
        <w:rPr>
          <w:rFonts w:ascii="Times New Roman" w:eastAsia="Times New Roman" w:hAnsi="Times New Roman" w:cs="Times New Roman"/>
          <w:b/>
          <w:bCs/>
          <w:sz w:val="24"/>
          <w:szCs w:val="24"/>
        </w:rPr>
      </w:pPr>
    </w:p>
    <w:p w14:paraId="069E70F0"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Cijena za količinu predanog miješanog komunalnog otpada za kategoriju kućanstvo iznosi 1,59 EUR za spremnik 120 litara. </w:t>
      </w:r>
    </w:p>
    <w:p w14:paraId="075F5619"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p>
    <w:p w14:paraId="6F76A551"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Cijena za količinu predanog miješanog komunalnog otpada za kategoriju koja nije kućanstvo iznosi 2,10 EUR za spremnik 120 litara. </w:t>
      </w:r>
    </w:p>
    <w:p w14:paraId="35B10305" w14:textId="77777777" w:rsidR="00B600A6" w:rsidRDefault="00B600A6">
      <w:pPr>
        <w:suppressAutoHyphens/>
        <w:spacing w:after="3" w:line="240" w:lineRule="auto"/>
        <w:rPr>
          <w:rFonts w:ascii="Times New Roman" w:eastAsia="Times New Roman" w:hAnsi="Times New Roman" w:cs="Times New Roman"/>
          <w:sz w:val="24"/>
          <w:szCs w:val="24"/>
        </w:rPr>
      </w:pPr>
    </w:p>
    <w:p w14:paraId="62CDB48D" w14:textId="77777777" w:rsidR="00B600A6" w:rsidRDefault="00B600A6">
      <w:pPr>
        <w:suppressAutoHyphens/>
        <w:spacing w:after="3"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Obrazloženje načina na koji je određena cijena obavezne minimalne javne usluge za korisnike iz kategorije kućanstva</w:t>
      </w:r>
    </w:p>
    <w:p w14:paraId="089467FB" w14:textId="77777777" w:rsidR="00B600A6" w:rsidRDefault="00B600A6">
      <w:pPr>
        <w:suppressAutoHyphens/>
        <w:spacing w:after="3" w:line="240" w:lineRule="auto"/>
        <w:ind w:left="14" w:right="2570" w:firstLine="4"/>
        <w:jc w:val="both"/>
        <w:rPr>
          <w:rFonts w:ascii="Times New Roman" w:eastAsia="Times New Roman" w:hAnsi="Times New Roman" w:cs="Times New Roman"/>
          <w:sz w:val="24"/>
          <w:szCs w:val="24"/>
        </w:rPr>
      </w:pPr>
    </w:p>
    <w:p w14:paraId="4065CB18" w14:textId="77777777" w:rsidR="00B600A6" w:rsidRDefault="00B600A6">
      <w:pPr>
        <w:suppressAutoHyphens/>
        <w:spacing w:after="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Cijena obvezne minimalne javne usluge uključuje troškove obavljanja sljedećih usluga:</w:t>
      </w:r>
    </w:p>
    <w:p w14:paraId="1C2D396E" w14:textId="77777777" w:rsidR="00B600A6" w:rsidRDefault="00B600A6">
      <w:pPr>
        <w:suppressAutoHyphens/>
        <w:spacing w:after="3" w:line="240" w:lineRule="auto"/>
        <w:jc w:val="both"/>
        <w:rPr>
          <w:rFonts w:ascii="Times New Roman" w:eastAsia="Times New Roman" w:hAnsi="Times New Roman" w:cs="Times New Roman"/>
          <w:sz w:val="24"/>
          <w:szCs w:val="24"/>
        </w:rPr>
      </w:pPr>
    </w:p>
    <w:p w14:paraId="0E00DF0C" w14:textId="77777777" w:rsidR="00B600A6" w:rsidRDefault="00B600A6">
      <w:pPr>
        <w:pStyle w:val="Odlomakpopisa"/>
        <w:numPr>
          <w:ilvl w:val="0"/>
          <w:numId w:val="3"/>
        </w:numPr>
        <w:suppressAutoHyphens/>
        <w:spacing w:after="3" w:line="240" w:lineRule="auto"/>
        <w:ind w:left="426" w:right="-65"/>
        <w:rPr>
          <w:sz w:val="24"/>
          <w:szCs w:val="24"/>
        </w:rPr>
      </w:pPr>
      <w:r>
        <w:rPr>
          <w:sz w:val="24"/>
          <w:szCs w:val="24"/>
        </w:rPr>
        <w:t>sakupljanje i odvoz miješanog komunalnog otpada (zeleni spremnik) s obračunskog mjesta korisnika,</w:t>
      </w:r>
    </w:p>
    <w:p w14:paraId="527977AC" w14:textId="77777777" w:rsidR="00B600A6" w:rsidRDefault="00B600A6">
      <w:pPr>
        <w:numPr>
          <w:ilvl w:val="0"/>
          <w:numId w:val="3"/>
        </w:numPr>
        <w:suppressAutoHyphens/>
        <w:spacing w:after="47" w:line="240" w:lineRule="auto"/>
        <w:ind w:left="4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sakupljanje i odvoz reciklabilnog komunalnog otpada (plavi i žuti spremnik) s obračunskog mjesta korisnika,</w:t>
      </w:r>
    </w:p>
    <w:p w14:paraId="18F0D0B0" w14:textId="77777777" w:rsidR="00B600A6" w:rsidRDefault="00B600A6">
      <w:pPr>
        <w:numPr>
          <w:ilvl w:val="0"/>
          <w:numId w:val="3"/>
        </w:numPr>
        <w:suppressAutoHyphens/>
        <w:spacing w:after="47" w:line="240" w:lineRule="auto"/>
        <w:ind w:left="4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sakupljanje i odvoz glomaznog (krupnog) komunalnog otpada jednom godišnje (samo za korisnike kategorije kućanstvo) s obračunskog mjesta korisnika,</w:t>
      </w:r>
    </w:p>
    <w:p w14:paraId="6982A330" w14:textId="77777777" w:rsidR="00B600A6" w:rsidRDefault="00B600A6">
      <w:pPr>
        <w:numPr>
          <w:ilvl w:val="0"/>
          <w:numId w:val="3"/>
        </w:numPr>
        <w:suppressAutoHyphens/>
        <w:spacing w:after="47" w:line="240" w:lineRule="auto"/>
        <w:ind w:left="4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preuzimanje komunalnog otpada u mobilnom reciklažnom dvorištu (samo za korisnike kategorije kućanstvo),</w:t>
      </w:r>
    </w:p>
    <w:p w14:paraId="53BB4B91" w14:textId="77777777" w:rsidR="00B600A6" w:rsidRDefault="00B600A6">
      <w:pPr>
        <w:numPr>
          <w:ilvl w:val="0"/>
          <w:numId w:val="3"/>
        </w:numPr>
        <w:suppressAutoHyphens/>
        <w:spacing w:after="47" w:line="240" w:lineRule="auto"/>
        <w:ind w:left="4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predaja reciklabilnog komunalnog otpada na zbrinjavanje ovlaštenim osobama.</w:t>
      </w:r>
    </w:p>
    <w:p w14:paraId="534EDF6D" w14:textId="77777777" w:rsidR="00B600A6" w:rsidRDefault="00B600A6">
      <w:pPr>
        <w:suppressAutoHyphens/>
        <w:spacing w:after="47" w:line="240" w:lineRule="auto"/>
        <w:ind w:right="57"/>
        <w:jc w:val="both"/>
        <w:rPr>
          <w:rFonts w:ascii="Times New Roman" w:eastAsia="Times New Roman" w:hAnsi="Times New Roman" w:cs="Times New Roman"/>
          <w:sz w:val="24"/>
          <w:szCs w:val="24"/>
        </w:rPr>
      </w:pPr>
    </w:p>
    <w:p w14:paraId="13DE4C11" w14:textId="77777777" w:rsidR="00B600A6" w:rsidRDefault="00B600A6">
      <w:pPr>
        <w:suppressAutoHyphens/>
        <w:spacing w:after="3"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Obrazloženje načina na koji je određena cijena obavezne minimalne javne usluge za korisnike iz kategorije koji nisu kućanstvo</w:t>
      </w:r>
    </w:p>
    <w:p w14:paraId="5218D821" w14:textId="77777777" w:rsidR="00B600A6" w:rsidRDefault="00B600A6">
      <w:pPr>
        <w:suppressAutoHyphens/>
        <w:spacing w:after="3" w:line="240" w:lineRule="auto"/>
        <w:ind w:left="14" w:right="2570" w:firstLine="4"/>
        <w:jc w:val="both"/>
        <w:rPr>
          <w:rFonts w:ascii="Times New Roman" w:eastAsia="Times New Roman" w:hAnsi="Times New Roman" w:cs="Times New Roman"/>
          <w:sz w:val="24"/>
          <w:szCs w:val="24"/>
        </w:rPr>
      </w:pPr>
    </w:p>
    <w:p w14:paraId="1E284D6C" w14:textId="77777777" w:rsidR="00B600A6" w:rsidRDefault="00B600A6">
      <w:pPr>
        <w:suppressAutoHyphens/>
        <w:spacing w:after="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Cijena obvezne minimalne javne usluge uključuje troškove obavljanja sljedećih usluga:</w:t>
      </w:r>
    </w:p>
    <w:p w14:paraId="0B2EDD23" w14:textId="77777777" w:rsidR="00B600A6" w:rsidRDefault="00B600A6">
      <w:pPr>
        <w:suppressAutoHyphens/>
        <w:spacing w:after="3" w:line="240" w:lineRule="auto"/>
        <w:jc w:val="both"/>
        <w:rPr>
          <w:rFonts w:ascii="Times New Roman" w:eastAsia="Times New Roman" w:hAnsi="Times New Roman" w:cs="Times New Roman"/>
          <w:sz w:val="24"/>
          <w:szCs w:val="24"/>
        </w:rPr>
      </w:pPr>
    </w:p>
    <w:p w14:paraId="1FE64456" w14:textId="77777777" w:rsidR="00B600A6" w:rsidRDefault="00B600A6">
      <w:pPr>
        <w:pStyle w:val="Odlomakpopisa"/>
        <w:numPr>
          <w:ilvl w:val="0"/>
          <w:numId w:val="3"/>
        </w:numPr>
        <w:suppressAutoHyphens/>
        <w:spacing w:after="3" w:line="240" w:lineRule="auto"/>
        <w:ind w:left="426" w:right="-65"/>
        <w:rPr>
          <w:sz w:val="24"/>
          <w:szCs w:val="24"/>
        </w:rPr>
      </w:pPr>
      <w:r>
        <w:rPr>
          <w:sz w:val="24"/>
          <w:szCs w:val="24"/>
        </w:rPr>
        <w:t>sakupljanje i odvoz miješanog komunalnog otpada (zeleni spremnik) s obračunskog mjesta korisnika,</w:t>
      </w:r>
    </w:p>
    <w:p w14:paraId="5FD848B1" w14:textId="77777777" w:rsidR="00B600A6" w:rsidRDefault="00B600A6">
      <w:pPr>
        <w:numPr>
          <w:ilvl w:val="0"/>
          <w:numId w:val="3"/>
        </w:numPr>
        <w:suppressAutoHyphens/>
        <w:spacing w:after="47" w:line="240" w:lineRule="auto"/>
        <w:ind w:left="4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sakupljanje i odvoz reciklabilnog komunalnog otpada (plavi i žuti spremnik) s obračunskog mjesta korisnika,</w:t>
      </w:r>
    </w:p>
    <w:p w14:paraId="0769AA03" w14:textId="77777777" w:rsidR="00B600A6" w:rsidRDefault="00B600A6">
      <w:pPr>
        <w:numPr>
          <w:ilvl w:val="0"/>
          <w:numId w:val="3"/>
        </w:numPr>
        <w:suppressAutoHyphens/>
        <w:spacing w:after="47" w:line="240" w:lineRule="auto"/>
        <w:ind w:left="4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predaja reciklabilnog otpada na zbrinjavanje ovlaštenim osobama.</w:t>
      </w:r>
    </w:p>
    <w:p w14:paraId="7BABE44B" w14:textId="77777777" w:rsidR="00B600A6" w:rsidRDefault="00B600A6">
      <w:pPr>
        <w:suppressAutoHyphens/>
        <w:spacing w:after="47" w:line="240" w:lineRule="auto"/>
        <w:ind w:right="57"/>
        <w:jc w:val="both"/>
        <w:rPr>
          <w:rFonts w:ascii="Times New Roman" w:eastAsia="Times New Roman" w:hAnsi="Times New Roman" w:cs="Times New Roman"/>
          <w:sz w:val="24"/>
          <w:szCs w:val="24"/>
        </w:rPr>
      </w:pPr>
    </w:p>
    <w:p w14:paraId="0C61FBB9"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Novom cijenom „obvezne minimalne javne usluge“ definirane člankom 76. Zakona o gospodarenju otpadom (NN 84/2021 i 142/23) postiže se ujednačenost cijene za sve korisnike javne usluge sakupljanja komunalnog otpada radi pružanja ujednačene kvalitete usluga na cijelom području Općine Promina sukladno članku 76. Zakona o gospodarenju otpadom (NN 84/2021 i 142/23) a čime se osigurava ekonomski održivo poslovanje te sigurnost, redovitost i kvaliteta pružanja javne usluge kako bi sustav sakupljanja komunalnog otpada mogao ispuniti svoju svrhu. </w:t>
      </w:r>
    </w:p>
    <w:p w14:paraId="2602A008" w14:textId="77777777" w:rsidR="00B600A6" w:rsidRDefault="00B600A6">
      <w:pPr>
        <w:suppressAutoHyphens/>
        <w:spacing w:after="47" w:line="240" w:lineRule="auto"/>
        <w:ind w:right="57"/>
        <w:jc w:val="both"/>
        <w:rPr>
          <w:rFonts w:ascii="Times New Roman" w:eastAsia="Times New Roman" w:hAnsi="Times New Roman" w:cs="Times New Roman"/>
          <w:sz w:val="24"/>
          <w:szCs w:val="24"/>
        </w:rPr>
      </w:pPr>
    </w:p>
    <w:p w14:paraId="4DC212BF" w14:textId="77777777" w:rsidR="00B600A6" w:rsidRDefault="00B600A6">
      <w:pPr>
        <w:suppressAutoHyphens/>
        <w:spacing w:after="3" w:line="240" w:lineRule="auto"/>
        <w:ind w:left="14" w:right="5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Navedene usluge obuhvaćaju </w:t>
      </w:r>
      <w:r>
        <w:rPr>
          <w:rFonts w:ascii="Times New Roman" w:eastAsia="Times New Roman" w:hAnsi="Times New Roman" w:cs="Times New Roman"/>
          <w:b/>
          <w:bCs/>
          <w:sz w:val="24"/>
          <w:szCs w:val="24"/>
        </w:rPr>
        <w:t>materijalne troškove</w:t>
      </w:r>
      <w:r>
        <w:rPr>
          <w:rFonts w:ascii="Times New Roman" w:eastAsia="Times New Roman" w:hAnsi="Times New Roman" w:cs="Times New Roman"/>
          <w:sz w:val="24"/>
          <w:szCs w:val="24"/>
        </w:rPr>
        <w:t xml:space="preserve"> (osnovni i uredski materijal, električnu energiju, gorivo, mazivo, sitni inventar, auto gume i slično), </w:t>
      </w:r>
      <w:r>
        <w:rPr>
          <w:rFonts w:ascii="Times New Roman" w:eastAsia="Times New Roman" w:hAnsi="Times New Roman" w:cs="Times New Roman"/>
          <w:b/>
          <w:bCs/>
          <w:sz w:val="24"/>
          <w:szCs w:val="24"/>
        </w:rPr>
        <w:t xml:space="preserve">troškove usluga </w:t>
      </w:r>
      <w:r>
        <w:rPr>
          <w:rFonts w:ascii="Times New Roman" w:eastAsia="Times New Roman" w:hAnsi="Times New Roman" w:cs="Times New Roman"/>
          <w:sz w:val="24"/>
          <w:szCs w:val="24"/>
        </w:rPr>
        <w:t xml:space="preserve">(poštarine, telekomunikacije, tekuće održavanje, najam prostora i opreme, režijski troškovi, financijski rashodi, premije osiguranja, registracija i tehnički pregled i slično), </w:t>
      </w:r>
      <w:r>
        <w:rPr>
          <w:rFonts w:ascii="Times New Roman" w:eastAsia="Times New Roman" w:hAnsi="Times New Roman" w:cs="Times New Roman"/>
          <w:b/>
          <w:bCs/>
          <w:sz w:val="24"/>
          <w:szCs w:val="24"/>
        </w:rPr>
        <w:t>nematerijalne troškove</w:t>
      </w:r>
      <w:r>
        <w:rPr>
          <w:rFonts w:ascii="Times New Roman" w:eastAsia="Times New Roman" w:hAnsi="Times New Roman" w:cs="Times New Roman"/>
          <w:sz w:val="24"/>
          <w:szCs w:val="24"/>
        </w:rPr>
        <w:t xml:space="preserve"> (prijevoz radnika, nagrade, otpremnine, pomoći), </w:t>
      </w:r>
      <w:r>
        <w:rPr>
          <w:rFonts w:ascii="Times New Roman" w:eastAsia="Times New Roman" w:hAnsi="Times New Roman" w:cs="Times New Roman"/>
          <w:b/>
          <w:sz w:val="24"/>
          <w:szCs w:val="24"/>
        </w:rPr>
        <w:t>troškove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amortizacije, troškove nabave opreme za prikupljanje otpada, troškove vođenja evidencija </w:t>
      </w:r>
      <w:r>
        <w:rPr>
          <w:rFonts w:ascii="Times New Roman" w:eastAsia="Times New Roman" w:hAnsi="Times New Roman" w:cs="Times New Roman"/>
          <w:bCs/>
          <w:sz w:val="24"/>
          <w:szCs w:val="24"/>
        </w:rPr>
        <w:t>i</w:t>
      </w:r>
      <w:r>
        <w:rPr>
          <w:rFonts w:ascii="Times New Roman" w:eastAsia="Times New Roman" w:hAnsi="Times New Roman" w:cs="Times New Roman"/>
          <w:b/>
          <w:bCs/>
          <w:sz w:val="24"/>
          <w:szCs w:val="24"/>
        </w:rPr>
        <w:t xml:space="preserve"> troškove plaća radnika.</w:t>
      </w:r>
    </w:p>
    <w:p w14:paraId="2955F9F0" w14:textId="77777777" w:rsidR="00B600A6" w:rsidRDefault="00B600A6">
      <w:pPr>
        <w:suppressAutoHyphens/>
        <w:spacing w:after="3" w:line="240" w:lineRule="auto"/>
        <w:ind w:left="14" w:right="57"/>
        <w:jc w:val="both"/>
        <w:rPr>
          <w:rFonts w:ascii="Times New Roman" w:eastAsia="Times New Roman" w:hAnsi="Times New Roman" w:cs="Times New Roman"/>
          <w:b/>
          <w:bCs/>
          <w:sz w:val="24"/>
          <w:szCs w:val="24"/>
        </w:rPr>
      </w:pPr>
    </w:p>
    <w:p w14:paraId="626229C7"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Cijena je određena kao ukupni trošak provedbe navedenih usluga podijeljen s brojem korisnika minimalne javne usluge, uzimajući pritom u obzir procijenjeni broj korisnika koji će ostvariti pravo na umanjenje cijene minimalne javne usluge. </w:t>
      </w:r>
    </w:p>
    <w:p w14:paraId="6AE99CF8"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p>
    <w:p w14:paraId="1F37C298" w14:textId="77777777" w:rsidR="00B600A6" w:rsidRDefault="00B600A6">
      <w:pPr>
        <w:pStyle w:val="box468252"/>
        <w:shd w:val="clear" w:color="auto" w:fill="FFFFFF"/>
        <w:suppressAutoHyphens/>
        <w:spacing w:before="0" w:beforeAutospacing="0" w:after="48" w:afterAutospacing="0"/>
        <w:textAlignment w:val="baseline"/>
        <w:rPr>
          <w:b/>
          <w:bCs/>
          <w:color w:val="231F20"/>
        </w:rPr>
      </w:pPr>
      <w:r>
        <w:rPr>
          <w:b/>
          <w:bCs/>
          <w:color w:val="231F20"/>
        </w:rPr>
        <w:t>4.Cijena za količinu predanog miješanog komunalnog otpada</w:t>
      </w:r>
    </w:p>
    <w:p w14:paraId="3930F54B"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p>
    <w:p w14:paraId="263F214E"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shd w:val="clear" w:color="auto" w:fill="FFFFFF"/>
        </w:rPr>
        <w:t>Omjer cijene za količinu predanog miješanog komunalnog otpada i cijene obvezne minimalne javne usluge u cijeni javne usluge određen je na način koji osigurava obavljanje javne usluge na kvalitetan, postojan i ekonomski učinkovit način te izbjegava neopravdano visoke troškove, u skladu s načelima održivog razvoja, zaštite okoliša, javnost rada i načela onečišćivač plaća, čime se osigurava i potiče odvojeno sakupljanje otpada</w:t>
      </w:r>
      <w:r>
        <w:rPr>
          <w:rFonts w:ascii="Times New Roman" w:eastAsia="Times New Roman" w:hAnsi="Times New Roman" w:cs="Times New Roman"/>
          <w:sz w:val="24"/>
          <w:szCs w:val="24"/>
        </w:rPr>
        <w:t xml:space="preserve">, te je motivirajući za korisnike u smislu odvojenog prikupljanja otpada.  </w:t>
      </w:r>
    </w:p>
    <w:p w14:paraId="5EED65C1"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p>
    <w:p w14:paraId="546594B3"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Omjer fiksnog i varijabilnog dijela računa za spremnik 120 L iznosi 81 % : 19 %, čime se može reći da su ispunjena načela propisana člankom 75. stavkom 5. Zakona o gospodarenju otpadom (NN 84/2021 i 142/2023).</w:t>
      </w:r>
    </w:p>
    <w:p w14:paraId="58066CF8"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p>
    <w:p w14:paraId="098F4D0D" w14:textId="77777777" w:rsidR="00B600A6" w:rsidRDefault="00B600A6">
      <w:pPr>
        <w:suppressAutoHyphens/>
        <w:spacing w:after="3" w:line="240" w:lineRule="auto"/>
        <w:ind w:left="14"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 Cijene za količinu predanog miješanog komunalnog otpada primarno se financiraju:</w:t>
      </w:r>
    </w:p>
    <w:p w14:paraId="598B8EDD" w14:textId="77777777" w:rsidR="00B600A6" w:rsidRDefault="00B600A6">
      <w:pPr>
        <w:pStyle w:val="Odlomakpopisa"/>
        <w:numPr>
          <w:ilvl w:val="0"/>
          <w:numId w:val="3"/>
        </w:numPr>
        <w:suppressAutoHyphens/>
        <w:spacing w:after="3" w:line="240" w:lineRule="auto"/>
        <w:ind w:left="426" w:right="-65" w:hanging="284"/>
        <w:rPr>
          <w:sz w:val="24"/>
          <w:szCs w:val="24"/>
        </w:rPr>
      </w:pPr>
      <w:r>
        <w:rPr>
          <w:sz w:val="24"/>
          <w:szCs w:val="24"/>
        </w:rPr>
        <w:t xml:space="preserve">troškovi odlagališta otpada koji obuhvaćaju </w:t>
      </w:r>
      <w:r>
        <w:rPr>
          <w:b/>
          <w:bCs/>
          <w:sz w:val="24"/>
          <w:szCs w:val="24"/>
        </w:rPr>
        <w:t>materijalne troškove</w:t>
      </w:r>
      <w:r>
        <w:rPr>
          <w:sz w:val="24"/>
          <w:szCs w:val="24"/>
        </w:rPr>
        <w:t xml:space="preserve"> (osnovni i uredski materijal, električnu energiju, gorivo, mazivo, sitni inventar, auto gume i slično), </w:t>
      </w:r>
      <w:r>
        <w:rPr>
          <w:b/>
          <w:bCs/>
          <w:sz w:val="24"/>
          <w:szCs w:val="24"/>
        </w:rPr>
        <w:t>troškove usluga</w:t>
      </w:r>
      <w:r>
        <w:rPr>
          <w:sz w:val="24"/>
          <w:szCs w:val="24"/>
        </w:rPr>
        <w:t xml:space="preserve"> (tekuće održavanje, najam opreme, režijski troškovi, financijski rashodi, premije osiguranja, registracija i tehnički pregled i slično), </w:t>
      </w:r>
      <w:r>
        <w:rPr>
          <w:b/>
          <w:bCs/>
          <w:sz w:val="24"/>
          <w:szCs w:val="24"/>
        </w:rPr>
        <w:t>nematerijalne troškove</w:t>
      </w:r>
      <w:r>
        <w:rPr>
          <w:sz w:val="24"/>
          <w:szCs w:val="24"/>
        </w:rPr>
        <w:t xml:space="preserve"> (prijevoz radnika, nagrade, otpremnine, pomoći), </w:t>
      </w:r>
      <w:r>
        <w:rPr>
          <w:b/>
          <w:bCs/>
          <w:sz w:val="24"/>
          <w:szCs w:val="24"/>
        </w:rPr>
        <w:t xml:space="preserve">troškove amortizacije, troškove nabave opreme, troškove vođenja evidencija </w:t>
      </w:r>
      <w:r>
        <w:rPr>
          <w:sz w:val="24"/>
          <w:szCs w:val="24"/>
        </w:rPr>
        <w:t>i</w:t>
      </w:r>
      <w:r>
        <w:rPr>
          <w:b/>
          <w:bCs/>
          <w:sz w:val="24"/>
          <w:szCs w:val="24"/>
        </w:rPr>
        <w:t xml:space="preserve"> troškove plaća radnika</w:t>
      </w:r>
      <w:r>
        <w:rPr>
          <w:sz w:val="24"/>
          <w:szCs w:val="24"/>
        </w:rPr>
        <w:t>.</w:t>
      </w:r>
    </w:p>
    <w:p w14:paraId="59F49564" w14:textId="77777777" w:rsidR="00B600A6" w:rsidRDefault="00B600A6">
      <w:pPr>
        <w:pStyle w:val="Odlomakpopisa"/>
        <w:numPr>
          <w:ilvl w:val="0"/>
          <w:numId w:val="3"/>
        </w:numPr>
        <w:suppressAutoHyphens/>
        <w:spacing w:after="3" w:line="240" w:lineRule="auto"/>
        <w:ind w:left="426" w:right="-65" w:hanging="284"/>
        <w:rPr>
          <w:sz w:val="24"/>
          <w:szCs w:val="24"/>
        </w:rPr>
      </w:pPr>
      <w:r>
        <w:rPr>
          <w:sz w:val="24"/>
          <w:szCs w:val="24"/>
        </w:rPr>
        <w:t>vanjski troškovi zbrinjavanja otpada kalkulirani na bazi postignutih cijena putem instrumenta javne nabave i situaciji na tržištu općenito (glomazni otpad, građevinski otpad, zeleni otpad i druge kategorije otpada koje nemaju pozitivnu vrijednost na tržištu).</w:t>
      </w:r>
    </w:p>
    <w:p w14:paraId="171406C1" w14:textId="77777777" w:rsidR="00B600A6" w:rsidRDefault="00B600A6">
      <w:pPr>
        <w:suppressAutoHyphens/>
        <w:spacing w:after="3" w:line="240" w:lineRule="auto"/>
        <w:ind w:right="57"/>
        <w:jc w:val="both"/>
        <w:rPr>
          <w:rFonts w:ascii="Times New Roman" w:eastAsia="Times New Roman" w:hAnsi="Times New Roman" w:cs="Times New Roman"/>
          <w:sz w:val="24"/>
          <w:szCs w:val="24"/>
        </w:rPr>
      </w:pPr>
    </w:p>
    <w:p w14:paraId="7653E364" w14:textId="77777777" w:rsidR="00B600A6" w:rsidRDefault="00B600A6">
      <w:pPr>
        <w:suppressAutoHyphens/>
        <w:spacing w:after="3" w:line="240" w:lineRule="auto"/>
        <w:ind w:left="11" w:right="57"/>
        <w:jc w:val="both"/>
        <w:rPr>
          <w:rFonts w:ascii="Times New Roman" w:eastAsia="Times New Roman" w:hAnsi="Times New Roman" w:cs="Times New Roman"/>
          <w:color w:val="231F20"/>
          <w:sz w:val="24"/>
          <w:szCs w:val="24"/>
          <w:shd w:val="clear" w:color="auto" w:fill="FFFFFF"/>
        </w:rPr>
      </w:pPr>
      <w:r>
        <w:rPr>
          <w:rFonts w:ascii="Times New Roman" w:eastAsia="Times New Roman" w:hAnsi="Times New Roman" w:cs="Times New Roman"/>
          <w:sz w:val="24"/>
          <w:szCs w:val="24"/>
        </w:rPr>
        <w:t>Predloženim cjenikom osigurava se s</w:t>
      </w:r>
      <w:r>
        <w:rPr>
          <w:rFonts w:ascii="Times New Roman" w:eastAsia="Times New Roman" w:hAnsi="Times New Roman" w:cs="Times New Roman"/>
          <w:color w:val="231F20"/>
          <w:sz w:val="24"/>
          <w:szCs w:val="24"/>
          <w:shd w:val="clear" w:color="auto" w:fill="FFFFFF"/>
        </w:rPr>
        <w:t>vrha sustava sakupljanja komunalnog otpada te potiče proizvođače otpada da odvojeno predaju otpad, kako bi se smanjila količina miješanog komunalnog otpada koji nastaje, smanjio udio biorazgradivog komunalnog otpada u nastalom miješanom komunalnom otpadu, povećale količine odvojenog prikupljanja otpada i ispunila obveza Općine Promina da osigura odvojeno sakupljanje i recikliranje otpada, a čime se ispunjavaju načela održivog razvoja, zaštite okoliša, gospodarenja otpadom i zaštitom javnog interesa.</w:t>
      </w:r>
    </w:p>
    <w:sectPr w:rsidR="00B600A6">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multilevel"/>
    <w:tmpl w:val="9979937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66866C8A"/>
    <w:multiLevelType w:val="hybridMultilevel"/>
    <w:tmpl w:val="99799375"/>
    <w:lvl w:ilvl="0" w:tplc="FFFFFFFF">
      <w:start w:val="1"/>
      <w:numFmt w:val="bullet"/>
      <w:lvlText w:val=""/>
      <w:lvlJc w:val="left"/>
      <w:pPr>
        <w:ind w:left="734" w:hanging="360"/>
      </w:pPr>
      <w:rPr>
        <w:rFonts w:ascii="Symbol" w:eastAsia="Symbol" w:hAnsi="Symbol" w:hint="default"/>
      </w:rPr>
    </w:lvl>
    <w:lvl w:ilvl="1" w:tplc="FFFFFFFF">
      <w:start w:val="1"/>
      <w:numFmt w:val="bullet"/>
      <w:lvlText w:val="o"/>
      <w:lvlJc w:val="left"/>
      <w:pPr>
        <w:ind w:left="1454" w:hanging="360"/>
      </w:pPr>
      <w:rPr>
        <w:rFonts w:ascii="Courier New" w:eastAsia="Courier New" w:hAnsi="Courier New" w:cs="Courier New" w:hint="default"/>
      </w:rPr>
    </w:lvl>
    <w:lvl w:ilvl="2" w:tplc="FFFFFFFF">
      <w:start w:val="1"/>
      <w:numFmt w:val="bullet"/>
      <w:lvlText w:val=""/>
      <w:lvlJc w:val="left"/>
      <w:pPr>
        <w:ind w:left="2174" w:hanging="360"/>
      </w:pPr>
      <w:rPr>
        <w:rFonts w:ascii="Wingdings" w:eastAsia="Wingdings" w:hAnsi="Wingdings" w:hint="default"/>
      </w:rPr>
    </w:lvl>
    <w:lvl w:ilvl="3" w:tplc="FFFFFFFF">
      <w:start w:val="1"/>
      <w:numFmt w:val="bullet"/>
      <w:lvlText w:val=""/>
      <w:lvlJc w:val="left"/>
      <w:pPr>
        <w:ind w:left="2894" w:hanging="360"/>
      </w:pPr>
      <w:rPr>
        <w:rFonts w:ascii="Symbol" w:eastAsia="Symbol" w:hAnsi="Symbol" w:hint="default"/>
      </w:rPr>
    </w:lvl>
    <w:lvl w:ilvl="4" w:tplc="FFFFFFFF">
      <w:start w:val="1"/>
      <w:numFmt w:val="bullet"/>
      <w:lvlText w:val="o"/>
      <w:lvlJc w:val="left"/>
      <w:pPr>
        <w:ind w:left="3614" w:hanging="360"/>
      </w:pPr>
      <w:rPr>
        <w:rFonts w:ascii="Courier New" w:eastAsia="Courier New" w:hAnsi="Courier New" w:cs="Courier New" w:hint="default"/>
      </w:rPr>
    </w:lvl>
    <w:lvl w:ilvl="5" w:tplc="FFFFFFFF">
      <w:start w:val="1"/>
      <w:numFmt w:val="bullet"/>
      <w:lvlText w:val=""/>
      <w:lvlJc w:val="left"/>
      <w:pPr>
        <w:ind w:left="4334" w:hanging="360"/>
      </w:pPr>
      <w:rPr>
        <w:rFonts w:ascii="Wingdings" w:eastAsia="Wingdings" w:hAnsi="Wingdings" w:hint="default"/>
      </w:rPr>
    </w:lvl>
    <w:lvl w:ilvl="6" w:tplc="FFFFFFFF">
      <w:start w:val="1"/>
      <w:numFmt w:val="bullet"/>
      <w:lvlText w:val=""/>
      <w:lvlJc w:val="left"/>
      <w:pPr>
        <w:ind w:left="5054" w:hanging="360"/>
      </w:pPr>
      <w:rPr>
        <w:rFonts w:ascii="Symbol" w:eastAsia="Symbol" w:hAnsi="Symbol" w:hint="default"/>
      </w:rPr>
    </w:lvl>
    <w:lvl w:ilvl="7" w:tplc="FFFFFFFF">
      <w:start w:val="1"/>
      <w:numFmt w:val="bullet"/>
      <w:lvlText w:val="o"/>
      <w:lvlJc w:val="left"/>
      <w:pPr>
        <w:ind w:left="5774" w:hanging="360"/>
      </w:pPr>
      <w:rPr>
        <w:rFonts w:ascii="Courier New" w:eastAsia="Courier New" w:hAnsi="Courier New" w:cs="Courier New" w:hint="default"/>
      </w:rPr>
    </w:lvl>
    <w:lvl w:ilvl="8" w:tplc="FFFFFFFF">
      <w:start w:val="1"/>
      <w:numFmt w:val="bullet"/>
      <w:lvlText w:val=""/>
      <w:lvlJc w:val="left"/>
      <w:pPr>
        <w:ind w:left="6494" w:hanging="360"/>
      </w:pPr>
      <w:rPr>
        <w:rFonts w:ascii="Wingdings" w:eastAsia="Wingdings" w:hAnsi="Wingdings" w:hint="default"/>
      </w:rPr>
    </w:lvl>
  </w:abstractNum>
  <w:abstractNum w:abstractNumId="2" w15:restartNumberingAfterBreak="0">
    <w:nsid w:val="66866C8B"/>
    <w:multiLevelType w:val="hybridMultilevel"/>
    <w:tmpl w:val="99799374"/>
    <w:lvl w:ilvl="0" w:tplc="FFFFFFFF">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num w:numId="1" w16cid:durableId="76826611">
    <w:abstractNumId w:val="0"/>
  </w:num>
  <w:num w:numId="2" w16cid:durableId="1906135487">
    <w:abstractNumId w:val="1"/>
  </w:num>
  <w:num w:numId="3" w16cid:durableId="1206912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noPunctuationKerning/>
  <w:characterSpacingControl w:val="doNotCompress"/>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361"/>
    <w:rsid w:val="00032B54"/>
    <w:rsid w:val="003D0621"/>
    <w:rsid w:val="00422361"/>
    <w:rsid w:val="00B600A6"/>
    <w:rsid w:val="00DE56BF"/>
  </w:rsids>
  <m:mathPr>
    <m:mathFont m:val="Cambria Math"/>
    <m:brkBin m:val="before"/>
    <m:brkBinSub m:val="--"/>
    <m:smallFrac m:val="0"/>
    <m:dispDef/>
    <m:lMargin m:val="0"/>
    <m:rMargin m:val="0"/>
    <m:defJc m:val="centerGroup"/>
    <m:wrapIndent m:val="1440"/>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5426C"/>
  <w15:chartTrackingRefBased/>
  <w15:docId w15:val="{EF9A8C72-70F4-488C-B6CD-1E90A613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Naslov1">
    <w:name w:val="heading 1"/>
    <w:basedOn w:val="Normal"/>
    <w:next w:val="Normal"/>
    <w:link w:val="Naslov1Char"/>
    <w:qFormat/>
    <w:pPr>
      <w:keepNext/>
      <w:keepLines/>
      <w:numPr>
        <w:numId w:val="1"/>
      </w:numPr>
      <w:spacing w:before="240" w:after="0"/>
      <w:outlineLvl w:val="0"/>
    </w:pPr>
    <w:rPr>
      <w:rFonts w:ascii="Calibri Light" w:eastAsia="Calibri Light" w:hAnsi="Calibri Light" w:cs="Calibri Light"/>
      <w:color w:val="2F5496"/>
      <w:sz w:val="32"/>
      <w:szCs w:val="32"/>
    </w:rPr>
  </w:style>
  <w:style w:type="paragraph" w:styleId="Naslov2">
    <w:name w:val="heading 2"/>
    <w:basedOn w:val="Normal"/>
    <w:next w:val="Normal"/>
    <w:link w:val="Naslov2Char"/>
    <w:unhideWhenUsed/>
    <w:qFormat/>
    <w:pPr>
      <w:keepNext/>
      <w:keepLines/>
      <w:numPr>
        <w:ilvl w:val="1"/>
        <w:numId w:val="1"/>
      </w:numPr>
      <w:spacing w:before="40" w:after="0"/>
      <w:outlineLvl w:val="1"/>
    </w:pPr>
    <w:rPr>
      <w:rFonts w:ascii="Calibri Light" w:eastAsia="Calibri Light" w:hAnsi="Calibri Light" w:cs="Calibri Light"/>
      <w:color w:val="2F5496"/>
      <w:sz w:val="26"/>
      <w:szCs w:val="26"/>
    </w:rPr>
  </w:style>
  <w:style w:type="paragraph" w:styleId="Naslov3">
    <w:name w:val="heading 3"/>
    <w:basedOn w:val="Normal"/>
    <w:next w:val="Normal"/>
    <w:link w:val="Naslov3Char"/>
    <w:semiHidden/>
    <w:unhideWhenUsed/>
    <w:qFormat/>
    <w:pPr>
      <w:keepNext/>
      <w:keepLines/>
      <w:numPr>
        <w:ilvl w:val="2"/>
        <w:numId w:val="1"/>
      </w:numPr>
      <w:spacing w:before="40" w:after="0"/>
      <w:outlineLvl w:val="2"/>
    </w:pPr>
    <w:rPr>
      <w:rFonts w:ascii="Calibri Light" w:eastAsia="Calibri Light" w:hAnsi="Calibri Light" w:cs="Calibri Light"/>
      <w:color w:val="1F3763"/>
      <w:sz w:val="24"/>
      <w:szCs w:val="24"/>
    </w:rPr>
  </w:style>
  <w:style w:type="paragraph" w:styleId="Naslov4">
    <w:name w:val="heading 4"/>
    <w:basedOn w:val="Normal"/>
    <w:next w:val="Normal"/>
    <w:link w:val="Naslov4Char"/>
    <w:semiHidden/>
    <w:unhideWhenUsed/>
    <w:qFormat/>
    <w:pPr>
      <w:keepNext/>
      <w:keepLines/>
      <w:numPr>
        <w:ilvl w:val="3"/>
        <w:numId w:val="1"/>
      </w:numPr>
      <w:spacing w:before="40" w:after="0"/>
      <w:outlineLvl w:val="3"/>
    </w:pPr>
    <w:rPr>
      <w:rFonts w:ascii="Calibri Light" w:eastAsia="Calibri Light" w:hAnsi="Calibri Light" w:cs="Calibri Light"/>
      <w:i/>
      <w:iCs/>
      <w:color w:val="2F5496"/>
    </w:rPr>
  </w:style>
  <w:style w:type="paragraph" w:styleId="Naslov5">
    <w:name w:val="heading 5"/>
    <w:basedOn w:val="Normal"/>
    <w:next w:val="Normal"/>
    <w:link w:val="Naslov5Char"/>
    <w:semiHidden/>
    <w:unhideWhenUsed/>
    <w:qFormat/>
    <w:pPr>
      <w:keepNext/>
      <w:keepLines/>
      <w:numPr>
        <w:ilvl w:val="4"/>
        <w:numId w:val="1"/>
      </w:numPr>
      <w:spacing w:before="40" w:after="0"/>
      <w:outlineLvl w:val="4"/>
    </w:pPr>
    <w:rPr>
      <w:rFonts w:ascii="Calibri Light" w:eastAsia="Calibri Light" w:hAnsi="Calibri Light" w:cs="Calibri Light"/>
      <w:color w:val="2F5496"/>
    </w:rPr>
  </w:style>
  <w:style w:type="paragraph" w:styleId="Naslov6">
    <w:name w:val="heading 6"/>
    <w:basedOn w:val="Normal"/>
    <w:next w:val="Normal"/>
    <w:link w:val="Naslov6Char"/>
    <w:semiHidden/>
    <w:unhideWhenUsed/>
    <w:qFormat/>
    <w:pPr>
      <w:keepNext/>
      <w:keepLines/>
      <w:numPr>
        <w:ilvl w:val="5"/>
        <w:numId w:val="1"/>
      </w:numPr>
      <w:spacing w:before="40" w:after="0"/>
      <w:outlineLvl w:val="5"/>
    </w:pPr>
    <w:rPr>
      <w:rFonts w:ascii="Calibri Light" w:eastAsia="Calibri Light" w:hAnsi="Calibri Light" w:cs="Calibri Light"/>
      <w:color w:val="1F3763"/>
    </w:rPr>
  </w:style>
  <w:style w:type="paragraph" w:styleId="Naslov7">
    <w:name w:val="heading 7"/>
    <w:basedOn w:val="Normal"/>
    <w:next w:val="Normal"/>
    <w:link w:val="Naslov7Char"/>
    <w:semiHidden/>
    <w:unhideWhenUsed/>
    <w:qFormat/>
    <w:pPr>
      <w:keepNext/>
      <w:keepLines/>
      <w:numPr>
        <w:ilvl w:val="6"/>
        <w:numId w:val="1"/>
      </w:numPr>
      <w:spacing w:before="40" w:after="0"/>
      <w:outlineLvl w:val="6"/>
    </w:pPr>
    <w:rPr>
      <w:rFonts w:ascii="Calibri Light" w:eastAsia="Calibri Light" w:hAnsi="Calibri Light" w:cs="Calibri Light"/>
      <w:i/>
      <w:iCs/>
      <w:color w:val="1F3763"/>
    </w:rPr>
  </w:style>
  <w:style w:type="paragraph" w:styleId="Naslov8">
    <w:name w:val="heading 8"/>
    <w:basedOn w:val="Normal"/>
    <w:next w:val="Normal"/>
    <w:link w:val="Naslov8Char"/>
    <w:semiHidden/>
    <w:unhideWhenUsed/>
    <w:qFormat/>
    <w:pPr>
      <w:keepNext/>
      <w:keepLines/>
      <w:numPr>
        <w:ilvl w:val="7"/>
        <w:numId w:val="1"/>
      </w:numPr>
      <w:spacing w:before="40" w:after="0"/>
      <w:outlineLvl w:val="7"/>
    </w:pPr>
    <w:rPr>
      <w:rFonts w:ascii="Calibri Light" w:eastAsia="Calibri Light" w:hAnsi="Calibri Light" w:cs="Calibri Light"/>
      <w:color w:val="272727"/>
      <w:sz w:val="21"/>
      <w:szCs w:val="21"/>
    </w:rPr>
  </w:style>
  <w:style w:type="paragraph" w:styleId="Naslov9">
    <w:name w:val="heading 9"/>
    <w:basedOn w:val="Normal"/>
    <w:next w:val="Normal"/>
    <w:link w:val="Naslov9Char"/>
    <w:semiHidden/>
    <w:unhideWhenUsed/>
    <w:qFormat/>
    <w:pPr>
      <w:keepNext/>
      <w:keepLines/>
      <w:numPr>
        <w:ilvl w:val="8"/>
        <w:numId w:val="1"/>
      </w:numPr>
      <w:spacing w:before="40" w:after="0"/>
      <w:outlineLvl w:val="8"/>
    </w:pPr>
    <w:rPr>
      <w:rFonts w:ascii="Calibri Light" w:eastAsia="Calibri Light" w:hAnsi="Calibri Light" w:cs="Calibri Light"/>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rPr>
      <w:rFonts w:ascii="Times New Roman" w:eastAsia="Times New Roman" w:hAnsi="Times New Roman" w:cs="Times New Roman"/>
      <w:color w:val="000000"/>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box468252">
    <w:name w:val="box_46825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link w:val="Naslov1"/>
    <w:rPr>
      <w:rFonts w:ascii="Calibri Light" w:eastAsia="Calibri Light" w:hAnsi="Calibri Light" w:cs="Calibri Light"/>
      <w:color w:val="2F5496"/>
      <w:sz w:val="32"/>
      <w:szCs w:val="32"/>
    </w:rPr>
  </w:style>
  <w:style w:type="character" w:customStyle="1" w:styleId="Naslov2Char">
    <w:name w:val="Naslov 2 Char"/>
    <w:link w:val="Naslov2"/>
    <w:rPr>
      <w:rFonts w:ascii="Calibri Light" w:eastAsia="Calibri Light" w:hAnsi="Calibri Light" w:cs="Calibri Light"/>
      <w:color w:val="2F5496"/>
      <w:sz w:val="26"/>
      <w:szCs w:val="26"/>
    </w:rPr>
  </w:style>
  <w:style w:type="character" w:customStyle="1" w:styleId="Naslov3Char">
    <w:name w:val="Naslov 3 Char"/>
    <w:link w:val="Naslov3"/>
    <w:semiHidden/>
    <w:rPr>
      <w:rFonts w:ascii="Calibri Light" w:eastAsia="Calibri Light" w:hAnsi="Calibri Light" w:cs="Calibri Light"/>
      <w:color w:val="1F3763"/>
      <w:sz w:val="24"/>
      <w:szCs w:val="24"/>
    </w:rPr>
  </w:style>
  <w:style w:type="character" w:customStyle="1" w:styleId="Naslov4Char">
    <w:name w:val="Naslov 4 Char"/>
    <w:link w:val="Naslov4"/>
    <w:semiHidden/>
    <w:rPr>
      <w:rFonts w:ascii="Calibri Light" w:eastAsia="Calibri Light" w:hAnsi="Calibri Light" w:cs="Calibri Light"/>
      <w:i/>
      <w:iCs/>
      <w:color w:val="2F5496"/>
    </w:rPr>
  </w:style>
  <w:style w:type="character" w:customStyle="1" w:styleId="Naslov5Char">
    <w:name w:val="Naslov 5 Char"/>
    <w:link w:val="Naslov5"/>
    <w:semiHidden/>
    <w:rPr>
      <w:rFonts w:ascii="Calibri Light" w:eastAsia="Calibri Light" w:hAnsi="Calibri Light" w:cs="Calibri Light"/>
      <w:color w:val="2F5496"/>
    </w:rPr>
  </w:style>
  <w:style w:type="character" w:customStyle="1" w:styleId="Naslov6Char">
    <w:name w:val="Naslov 6 Char"/>
    <w:link w:val="Naslov6"/>
    <w:semiHidden/>
    <w:rPr>
      <w:rFonts w:ascii="Calibri Light" w:eastAsia="Calibri Light" w:hAnsi="Calibri Light" w:cs="Calibri Light"/>
      <w:color w:val="1F3763"/>
    </w:rPr>
  </w:style>
  <w:style w:type="character" w:customStyle="1" w:styleId="Naslov7Char">
    <w:name w:val="Naslov 7 Char"/>
    <w:link w:val="Naslov7"/>
    <w:semiHidden/>
    <w:rPr>
      <w:rFonts w:ascii="Calibri Light" w:eastAsia="Calibri Light" w:hAnsi="Calibri Light" w:cs="Calibri Light"/>
      <w:i/>
      <w:iCs/>
      <w:color w:val="1F3763"/>
    </w:rPr>
  </w:style>
  <w:style w:type="character" w:customStyle="1" w:styleId="Naslov8Char">
    <w:name w:val="Naslov 8 Char"/>
    <w:link w:val="Naslov8"/>
    <w:semiHidden/>
    <w:rPr>
      <w:rFonts w:ascii="Calibri Light" w:eastAsia="Calibri Light" w:hAnsi="Calibri Light" w:cs="Calibri Light"/>
      <w:color w:val="272727"/>
      <w:sz w:val="21"/>
      <w:szCs w:val="21"/>
    </w:rPr>
  </w:style>
  <w:style w:type="character" w:customStyle="1" w:styleId="Naslov9Char">
    <w:name w:val="Naslov 9 Char"/>
    <w:link w:val="Naslov9"/>
    <w:semiHidden/>
    <w:rPr>
      <w:rFonts w:ascii="Calibri Light" w:eastAsia="Calibri Light" w:hAnsi="Calibri Light" w:cs="Calibri Light"/>
      <w:i/>
      <w:iCs/>
      <w:color w:val="272727"/>
      <w:sz w:val="21"/>
      <w:szCs w:val="21"/>
    </w:rPr>
  </w:style>
  <w:style w:type="character" w:customStyle="1" w:styleId="Referencakomentara1">
    <w:name w:val="Referenca komentara1"/>
    <w:semiHidden/>
    <w:unhideWhenUsed/>
    <w:rPr>
      <w:sz w:val="16"/>
      <w:szCs w:val="16"/>
    </w:rPr>
  </w:style>
  <w:style w:type="paragraph" w:customStyle="1" w:styleId="Tekstkomentara1">
    <w:name w:val="Tekst komentara1"/>
    <w:basedOn w:val="Normal"/>
    <w:link w:val="TekstkomentaraChar"/>
    <w:unhideWhenUsed/>
    <w:pPr>
      <w:spacing w:line="240" w:lineRule="auto"/>
    </w:pPr>
    <w:rPr>
      <w:sz w:val="20"/>
      <w:szCs w:val="20"/>
    </w:rPr>
  </w:style>
  <w:style w:type="character" w:customStyle="1" w:styleId="TekstkomentaraChar">
    <w:name w:val="Tekst komentara Char"/>
    <w:link w:val="Tekstkomentara1"/>
    <w:rPr>
      <w:sz w:val="20"/>
      <w:szCs w:val="20"/>
    </w:rPr>
  </w:style>
  <w:style w:type="paragraph" w:customStyle="1" w:styleId="Predmetkomentara1">
    <w:name w:val="Predmet komentara1"/>
    <w:basedOn w:val="Tekstkomentara1"/>
    <w:next w:val="Tekstkomentara1"/>
    <w:link w:val="PredmetkomentaraChar"/>
    <w:semiHidden/>
    <w:unhideWhenUsed/>
    <w:rPr>
      <w:b/>
      <w:bCs/>
    </w:rPr>
  </w:style>
  <w:style w:type="character" w:customStyle="1" w:styleId="PredmetkomentaraChar">
    <w:name w:val="Predmet komentara Char"/>
    <w:link w:val="Predmetkomentara1"/>
    <w:semiHidden/>
    <w:rPr>
      <w:b/>
      <w:bCs/>
      <w:sz w:val="20"/>
      <w:szCs w:val="20"/>
    </w:rPr>
  </w:style>
  <w:style w:type="paragraph" w:styleId="Tekstbalonia">
    <w:name w:val="Balloon Text"/>
    <w:basedOn w:val="Normal"/>
    <w:link w:val="TekstbaloniaChar"/>
    <w:semiHidden/>
    <w:unhideWhenUsed/>
    <w:pPr>
      <w:spacing w:after="0" w:line="240" w:lineRule="auto"/>
    </w:pPr>
    <w:rPr>
      <w:rFonts w:ascii="Segoe UI" w:eastAsia="Segoe UI" w:hAnsi="Segoe UI" w:cs="Segoe UI"/>
      <w:sz w:val="18"/>
      <w:szCs w:val="18"/>
    </w:rPr>
  </w:style>
  <w:style w:type="character" w:customStyle="1" w:styleId="TekstbaloniaChar">
    <w:name w:val="Tekst balončića Char"/>
    <w:link w:val="Tekstbalonia"/>
    <w:semiHidden/>
    <w:rPr>
      <w:rFonts w:ascii="Segoe UI" w:eastAsia="Segoe UI" w:hAnsi="Segoe UI" w:cs="Segoe UI"/>
      <w:sz w:val="18"/>
      <w:szCs w:val="18"/>
    </w:rPr>
  </w:style>
  <w:style w:type="paragraph" w:styleId="Standard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Marijang</dc:creator>
  <cp:keywords/>
  <cp:lastModifiedBy>EKO PROMINA d.o.o.</cp:lastModifiedBy>
  <cp:revision>3</cp:revision>
  <cp:lastPrinted>2021-09-17T09:22:00Z</cp:lastPrinted>
  <dcterms:created xsi:type="dcterms:W3CDTF">2024-02-21T12:19:00Z</dcterms:created>
  <dcterms:modified xsi:type="dcterms:W3CDTF">2024-03-27T09:54:00Z</dcterms:modified>
</cp:coreProperties>
</file>