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B424B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bookmarkStart w:id="2" w:name="_Toc468978617"/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013-01/24-01/2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B5B11FB">
      <w:pPr>
        <w: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 xml:space="preserve">2182-9-2-24-1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14:paraId="1FCDC91D">
      <w:pPr>
        <w: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/>
        <w:drawing>
          <wp:inline>
            <wp:extent cx="933580" cy="9335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14:paraId="51FA76A2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Oklaj,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22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ožujka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4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. godine</w:t>
      </w:r>
    </w:p>
    <w:p w14:paraId="2DB16BE9">
      <w:pPr>
        <w:suppressAutoHyphens/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336E538">
      <w:pPr>
        <w:pStyle w:val="Opisslike"/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Izvješća o savjetovanju s javnošću</w:t>
      </w:r>
      <w:bookmarkEnd w:id="2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74"/>
        <w:gridCol w:w="5188"/>
      </w:tblGrid>
      <w:tr>
        <w:trPr>
          <w:trHeight w:val="719" w:hRule="atLeast"/>
        </w:trPr>
        <w:tc>
          <w:tcPr>
            <w:tcW w:type="dxa" w:w="9243"/>
            <w:gridSpan w:val="2"/>
            <w:tcBorders>
              <w:bottom w:val="single" w:color="365F91" w:sz="4" w:space="0"/>
            </w:tcBorders>
            <w:shd w:fill="B8CCE4" w:color="auto" w:val="clea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IZVJEŠĆE O SAVJETOVANJU S JAVNOŠĆU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 POSTUPKU DONOŠENJA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CJENIKA USLUGE PRIKUPLJANJA MIJEŠANOG KOMUNALNOG OTPADA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Nositelj izrade izvješća: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EKO Promina d.o.o.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Oklaj,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godine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akta za koji je provedeno savjetovanje s javnošću 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uppressAutoHyphens/>
              <w:spacing w:line="240" w:lineRule="auto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Prijedlog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Cjenika usluge prikupljanja miješanog komunalnog otpada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s obrazloženjem cijene i izmjene cijene te obrazloženje načina na koji je određena cijena obvezne minimalne javne usluge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tijela nadležnog za izradu nacrta / provedbu savjetovanja 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EKO Promina d.o.o.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Razlozi za donošenje akta i ciljevi koji se njime žele postići uz sažetak ključnih pitanja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Usklađivanje načina pružanja javne usluge sakupljanja komunalnog otpada na području Općine Promina sa Zakonom o gospodarenju otpadom (Narodne Novine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84/2021)</w:t>
            </w:r>
          </w:p>
        </w:tc>
      </w:tr>
      <w:tr>
        <w:trPr>
          <w:trHeight w:val="525" w:hRule="atLeast"/>
        </w:trPr>
        <w:tc>
          <w:tcPr>
            <w:tcW w:type="dxa" w:w="3942"/>
            <w:vMerge w:val="restart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Objava dokumenata za savjetovanje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Razdoblje provedbe savjetovanja </w:t>
            </w:r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/>
              <w:rPr>
                <w:rFonts w:ascii="Times New Roman" w:hAnsi="Times New Roman" w:eastAsiaTheme="minorHAnsi" w:cs="Times New Roman"/>
                <w:color w:val="000000"/>
                <w:sz w:val="24"/>
                <w:szCs w:val="24"/>
                <w:lang w:eastAsia="en-US"/>
              </w:rPr>
            </w:pPr>
            <w:r>
              <w:rPr/>
              <w:fldChar w:fldCharType="begin"/>
            </w:r>
            <w:r>
              <w:rPr/>
              <w:instrText xml:space="preserve">HYPERLINK "https://www.eko-promina.hr/dokumenti/savjetovanje-s-javnoscu" </w:instrText>
            </w:r>
            <w:r>
              <w:rPr/>
              <w:fldChar w:fldCharType="separat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EKO Promina d.o.o. - Savjetovanje s javnošću (eko-promina.hr)</w:t>
            </w:r>
            <w:r>
              <w:rPr/>
              <w:fldChar w:fldCharType="end"/>
            </w:r>
          </w:p>
        </w:tc>
      </w:tr>
      <w:tr>
        <w:trPr>
          <w:trHeight w:val="1499" w:hRule="atLeast"/>
        </w:trPr>
        <w:tc>
          <w:tcPr>
            <w:tcW w:type="dxa" w:w="3942"/>
            <w:vMerge w:val="continue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veljače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godine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ožujka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godine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osnovnih pokazatelja  uključenosti savjetovanja s javnošću 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 vrijeme trajanja internetskog savjetovanja 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rijedlog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u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Cjenika usluge prikupljanja miješanog komunalnog otpada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s obrazloženjem cijene i izmjene cijene te obrazloženje načina na koji je određena cijena obvezne minimalne javne usluge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 društva EKO Promina d.o.o.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bilo iznesenih mišljenja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Ostali oblici savjetovanja s javnošću 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</w:p>
        </w:tc>
      </w:tr>
      <w:tr>
        <w:trPr/>
        <w:tc>
          <w:tcPr>
            <w:tcW w:type="dxa" w:w="3942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Troškovi provedenog savjetovanja</w:t>
            </w:r>
          </w:p>
        </w:tc>
        <w:tc>
          <w:tcPr>
            <w:tcW w:type="dxa" w:w="5301"/>
            <w:tcBorders>
              <w:top w:val="single" w:color="365F91" w:sz="4" w:space="0"/>
              <w:left w:val="single" w:color="365F91" w:sz="4" w:space="0"/>
              <w:bottom w:val="single" w:color="365F91" w:sz="4" w:space="0"/>
              <w:right w:val="single" w:color="365F91" w:sz="4" w:space="0"/>
            </w:tcBorders>
            <w:shd w:fill="auto" w:color="auto" w:val="clear"/>
            <w:vAlign w:val="center"/>
          </w:tcPr>
          <w:p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</w:t>
            </w:r>
          </w:p>
        </w:tc>
      </w:tr>
    </w:tbl>
    <w:p w14:paraId="7070577B">
      <w:pPr>
        <w:spacing/>
        <w:rPr>
          <w:rFonts w:ascii="Times New Roman" w:hAnsi="Times New Roman" w:cs="Times New Roman"/>
          <w:sz w:val="24"/>
          <w:szCs w:val="24"/>
        </w:rPr>
      </w:pPr>
    </w:p>
    <w:sectPr>
      <w:type w:val="nextPage"/>
      <w:pgSz w:w="11906" w:h="16838"/>
      <w:pgMar w:top="709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238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 w:eastAsia="zh-C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="Batang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qFormat/>
    <w:pPr>
      <w:spacing/>
    </w:pPr>
    <w:rPr>
      <w:rFonts w:eastAsiaTheme="minorEastAsia"/>
      <w:lang w:eastAsia="zh-CN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pPr>
      <w:spacing/>
    </w:pPr>
    <w:rPr>
      <w:rFonts w:ascii="Calibri" w:hAnsi="Calibri" w:eastAsia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2</Pages>
  <Words>313</Words>
  <Characters>1787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EKO PROMINA d.o.o.</cp:lastModifiedBy>
  <cp:revision>2</cp:revision>
  <dcterms:created xsi:type="dcterms:W3CDTF">2024-03-22T11:50:00Z</dcterms:created>
  <dcterms:modified xsi:type="dcterms:W3CDTF">2024-03-22T11:50:00Z</dcterms:modified>
</cp:coreProperties>
</file>