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5776" w14:textId="77777777" w:rsidR="00BE05C6" w:rsidRDefault="00000000">
      <w:pPr>
        <w:spacing w:after="0" w:line="240" w:lineRule="auto"/>
        <w:ind w:right="-567"/>
        <w:rPr>
          <w:rFonts w:ascii="Times New Roman" w:hAnsi="Times New Roman" w:cs="Times New Roman"/>
          <w:szCs w:val="24"/>
        </w:rPr>
      </w:pPr>
      <w:r>
        <w:rPr>
          <w:rFonts w:ascii="Times New Roman" w:hAnsi="Times New Roman" w:cs="Times New Roman"/>
          <w:szCs w:val="24"/>
        </w:rPr>
        <w:t xml:space="preserve">KLASA:       </w:t>
      </w:r>
      <w:r>
        <w:rPr>
          <w:rFonts w:ascii="Times New Roman" w:hAnsi="Times New Roman" w:cs="Times New Roman"/>
          <w:noProof/>
          <w:szCs w:val="24"/>
          <w:lang w:val="en-US"/>
        </w:rPr>
        <w:t>025-01/24-01/17</w:t>
      </w:r>
      <w:r>
        <w:rPr>
          <w:rFonts w:ascii="Times New Roman" w:hAnsi="Times New Roman" w:cs="Times New Roman"/>
          <w:szCs w:val="24"/>
        </w:rPr>
        <w:t xml:space="preserve">                                                                                                                                             </w:t>
      </w:r>
    </w:p>
    <w:p w14:paraId="7DB75777" w14:textId="77777777" w:rsidR="00BE05C6" w:rsidRDefault="00000000">
      <w:pPr>
        <w:rPr>
          <w:rFonts w:ascii="Times New Roman" w:hAnsi="Times New Roman" w:cs="Times New Roman"/>
          <w:szCs w:val="24"/>
        </w:rPr>
      </w:pPr>
      <w:r>
        <w:rPr>
          <w:rFonts w:ascii="Times New Roman" w:hAnsi="Times New Roman" w:cs="Times New Roman"/>
          <w:szCs w:val="24"/>
        </w:rPr>
        <w:t xml:space="preserve">URBROJ:     </w:t>
      </w:r>
      <w:r>
        <w:rPr>
          <w:rFonts w:ascii="Times New Roman" w:hAnsi="Times New Roman" w:cs="Times New Roman"/>
          <w:noProof/>
          <w:szCs w:val="24"/>
        </w:rPr>
        <w:t>2182-9-2-24-1</w:t>
      </w:r>
      <w:r>
        <w:rPr>
          <w:rFonts w:ascii="Times New Roman" w:hAnsi="Times New Roman" w:cs="Times New Roman"/>
          <w:szCs w:val="24"/>
        </w:rPr>
        <w:t xml:space="preserve">                                              </w:t>
      </w:r>
    </w:p>
    <w:p w14:paraId="7DB75778" w14:textId="77777777" w:rsidR="00BE05C6" w:rsidRDefault="00000000">
      <w:pPr>
        <w:rPr>
          <w:rFonts w:ascii="Times New Roman" w:hAnsi="Times New Roman" w:cs="Times New Roman"/>
          <w:szCs w:val="24"/>
        </w:rPr>
      </w:pPr>
      <w:r>
        <w:rPr>
          <w:rFonts w:ascii="Times New Roman" w:hAnsi="Times New Roman" w:cs="Times New Roman"/>
        </w:rPr>
        <w:t xml:space="preserve"> </w:t>
      </w:r>
      <w:r>
        <w:rPr>
          <w:noProof/>
        </w:rPr>
        <w:drawing>
          <wp:inline distT="0" distB="0" distL="0" distR="0" wp14:anchorId="7DB759B8" wp14:editId="7DB759B9">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r>
        <w:rPr>
          <w:rFonts w:ascii="Times New Roman" w:hAnsi="Times New Roman" w:cs="Times New Roman"/>
        </w:rPr>
        <w:t xml:space="preserve">  </w:t>
      </w:r>
    </w:p>
    <w:p w14:paraId="7DB75779" w14:textId="77777777" w:rsidR="00BE05C6" w:rsidRDefault="00BE05C6">
      <w:pPr>
        <w:spacing w:after="0" w:line="360" w:lineRule="auto"/>
        <w:jc w:val="both"/>
        <w:rPr>
          <w:rFonts w:ascii="Times New Roman" w:hAnsi="Times New Roman" w:cs="Times New Roman"/>
          <w:sz w:val="24"/>
          <w:szCs w:val="24"/>
        </w:rPr>
      </w:pPr>
    </w:p>
    <w:p w14:paraId="7DB7577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Oklaju 18. travnja 2024. godine</w:t>
      </w:r>
    </w:p>
    <w:p w14:paraId="7DB7577B" w14:textId="77777777" w:rsidR="00BE05C6" w:rsidRDefault="00BE05C6">
      <w:pPr>
        <w:spacing w:after="0" w:line="360" w:lineRule="auto"/>
        <w:jc w:val="both"/>
        <w:rPr>
          <w:rFonts w:ascii="Times New Roman" w:hAnsi="Times New Roman" w:cs="Times New Roman"/>
          <w:sz w:val="24"/>
          <w:szCs w:val="24"/>
        </w:rPr>
      </w:pPr>
    </w:p>
    <w:p w14:paraId="7DB7577C" w14:textId="77777777" w:rsidR="00BE05C6" w:rsidRDefault="00BE05C6">
      <w:pPr>
        <w:spacing w:after="0" w:line="360" w:lineRule="auto"/>
        <w:jc w:val="both"/>
        <w:rPr>
          <w:rFonts w:ascii="Times New Roman" w:hAnsi="Times New Roman" w:cs="Times New Roman"/>
          <w:sz w:val="24"/>
          <w:szCs w:val="24"/>
        </w:rPr>
      </w:pPr>
    </w:p>
    <w:p w14:paraId="7DB7577D" w14:textId="77777777" w:rsidR="00BE05C6" w:rsidRDefault="00BE05C6">
      <w:pPr>
        <w:spacing w:after="0" w:line="360" w:lineRule="auto"/>
        <w:jc w:val="both"/>
        <w:rPr>
          <w:rFonts w:ascii="Times New Roman" w:hAnsi="Times New Roman" w:cs="Times New Roman"/>
          <w:sz w:val="24"/>
          <w:szCs w:val="24"/>
        </w:rPr>
      </w:pPr>
    </w:p>
    <w:p w14:paraId="7DB7577E" w14:textId="77777777" w:rsidR="00BE05C6" w:rsidRDefault="00BE05C6">
      <w:pPr>
        <w:spacing w:after="0" w:line="360" w:lineRule="auto"/>
        <w:jc w:val="both"/>
        <w:rPr>
          <w:rFonts w:ascii="Times New Roman" w:hAnsi="Times New Roman" w:cs="Times New Roman"/>
          <w:sz w:val="24"/>
          <w:szCs w:val="24"/>
        </w:rPr>
      </w:pPr>
    </w:p>
    <w:p w14:paraId="7DB7577F" w14:textId="77777777" w:rsidR="00BE05C6" w:rsidRDefault="00BE05C6">
      <w:pPr>
        <w:spacing w:after="0" w:line="360" w:lineRule="auto"/>
        <w:jc w:val="both"/>
        <w:rPr>
          <w:rFonts w:ascii="Times New Roman" w:hAnsi="Times New Roman" w:cs="Times New Roman"/>
          <w:sz w:val="24"/>
          <w:szCs w:val="24"/>
        </w:rPr>
      </w:pPr>
    </w:p>
    <w:p w14:paraId="7DB75780" w14:textId="77777777" w:rsidR="00BE05C6" w:rsidRDefault="00BE05C6">
      <w:pPr>
        <w:spacing w:after="0" w:line="360" w:lineRule="auto"/>
        <w:jc w:val="both"/>
        <w:rPr>
          <w:rFonts w:ascii="Times New Roman" w:hAnsi="Times New Roman" w:cs="Times New Roman"/>
          <w:sz w:val="24"/>
          <w:szCs w:val="24"/>
        </w:rPr>
      </w:pPr>
    </w:p>
    <w:p w14:paraId="7DB75781" w14:textId="77777777" w:rsidR="00BE05C6" w:rsidRDefault="00BE05C6">
      <w:pPr>
        <w:spacing w:after="0" w:line="360" w:lineRule="auto"/>
        <w:jc w:val="both"/>
        <w:rPr>
          <w:rFonts w:ascii="Times New Roman" w:hAnsi="Times New Roman" w:cs="Times New Roman"/>
          <w:sz w:val="24"/>
          <w:szCs w:val="24"/>
        </w:rPr>
      </w:pPr>
    </w:p>
    <w:p w14:paraId="7DB75782" w14:textId="77777777" w:rsidR="00BE05C6" w:rsidRDefault="00BE05C6">
      <w:pPr>
        <w:spacing w:after="0" w:line="360" w:lineRule="auto"/>
        <w:jc w:val="both"/>
        <w:rPr>
          <w:rFonts w:ascii="Times New Roman" w:hAnsi="Times New Roman" w:cs="Times New Roman"/>
          <w:sz w:val="24"/>
          <w:szCs w:val="24"/>
        </w:rPr>
      </w:pPr>
    </w:p>
    <w:p w14:paraId="7DB75783" w14:textId="77777777" w:rsidR="00BE05C6" w:rsidRDefault="00BE05C6">
      <w:pPr>
        <w:spacing w:after="0" w:line="360" w:lineRule="auto"/>
        <w:jc w:val="both"/>
        <w:rPr>
          <w:rFonts w:ascii="Times New Roman" w:hAnsi="Times New Roman" w:cs="Times New Roman"/>
          <w:sz w:val="24"/>
          <w:szCs w:val="24"/>
        </w:rPr>
      </w:pPr>
    </w:p>
    <w:p w14:paraId="7DB75784" w14:textId="77777777" w:rsidR="00BE05C6" w:rsidRDefault="00000000">
      <w:pPr>
        <w:spacing w:after="0" w:line="360" w:lineRule="auto"/>
        <w:jc w:val="center"/>
        <w:rPr>
          <w:rFonts w:ascii="Times New Roman" w:hAnsi="Times New Roman" w:cs="Times New Roman"/>
          <w:b/>
          <w:bCs/>
          <w:sz w:val="36"/>
          <w:szCs w:val="36"/>
        </w:rPr>
      </w:pPr>
      <w:r>
        <w:rPr>
          <w:rFonts w:ascii="Times New Roman" w:hAnsi="Times New Roman" w:cs="Times New Roman"/>
          <w:b/>
          <w:bCs/>
          <w:sz w:val="36"/>
          <w:szCs w:val="36"/>
        </w:rPr>
        <w:t>Izvješće o radu i poslovanju društva EKO Promina d.o.o. u 2023. godini</w:t>
      </w:r>
    </w:p>
    <w:p w14:paraId="7DB75785" w14:textId="77777777" w:rsidR="00BE05C6" w:rsidRDefault="00BE05C6">
      <w:pPr>
        <w:spacing w:after="0" w:line="360" w:lineRule="auto"/>
        <w:jc w:val="both"/>
        <w:rPr>
          <w:rFonts w:ascii="Times New Roman" w:hAnsi="Times New Roman" w:cs="Times New Roman"/>
          <w:sz w:val="24"/>
          <w:szCs w:val="24"/>
        </w:rPr>
      </w:pPr>
    </w:p>
    <w:p w14:paraId="7DB75786" w14:textId="77777777" w:rsidR="00BE05C6" w:rsidRDefault="00BE05C6">
      <w:pPr>
        <w:spacing w:after="0" w:line="360" w:lineRule="auto"/>
        <w:jc w:val="both"/>
        <w:rPr>
          <w:rFonts w:ascii="Times New Roman" w:hAnsi="Times New Roman" w:cs="Times New Roman"/>
          <w:sz w:val="24"/>
          <w:szCs w:val="24"/>
        </w:rPr>
      </w:pPr>
    </w:p>
    <w:p w14:paraId="7DB75787" w14:textId="77777777" w:rsidR="00BE05C6" w:rsidRDefault="00BE05C6">
      <w:pPr>
        <w:spacing w:after="0" w:line="360" w:lineRule="auto"/>
        <w:jc w:val="both"/>
        <w:rPr>
          <w:rFonts w:ascii="Times New Roman" w:hAnsi="Times New Roman" w:cs="Times New Roman"/>
          <w:sz w:val="24"/>
          <w:szCs w:val="24"/>
        </w:rPr>
      </w:pPr>
    </w:p>
    <w:p w14:paraId="7DB75788" w14:textId="77777777" w:rsidR="00BE05C6" w:rsidRDefault="00BE05C6">
      <w:pPr>
        <w:spacing w:after="0" w:line="360" w:lineRule="auto"/>
        <w:jc w:val="both"/>
        <w:rPr>
          <w:rFonts w:ascii="Times New Roman" w:hAnsi="Times New Roman" w:cs="Times New Roman"/>
          <w:sz w:val="24"/>
          <w:szCs w:val="24"/>
        </w:rPr>
      </w:pPr>
    </w:p>
    <w:p w14:paraId="7DB75789" w14:textId="77777777" w:rsidR="00BE05C6" w:rsidRDefault="00BE05C6">
      <w:pPr>
        <w:spacing w:after="0" w:line="360" w:lineRule="auto"/>
        <w:jc w:val="both"/>
        <w:rPr>
          <w:rFonts w:ascii="Times New Roman" w:hAnsi="Times New Roman" w:cs="Times New Roman"/>
          <w:sz w:val="24"/>
          <w:szCs w:val="24"/>
        </w:rPr>
      </w:pPr>
    </w:p>
    <w:p w14:paraId="7DB7578A" w14:textId="77777777" w:rsidR="00BE05C6" w:rsidRDefault="00BE05C6">
      <w:pPr>
        <w:spacing w:after="0" w:line="360" w:lineRule="auto"/>
        <w:jc w:val="both"/>
        <w:rPr>
          <w:rFonts w:ascii="Times New Roman" w:hAnsi="Times New Roman" w:cs="Times New Roman"/>
          <w:sz w:val="24"/>
          <w:szCs w:val="24"/>
        </w:rPr>
      </w:pPr>
    </w:p>
    <w:p w14:paraId="7DB7578B" w14:textId="77777777" w:rsidR="00BE05C6" w:rsidRDefault="00BE05C6">
      <w:pPr>
        <w:spacing w:after="0" w:line="360" w:lineRule="auto"/>
        <w:jc w:val="both"/>
        <w:rPr>
          <w:rFonts w:ascii="Times New Roman" w:hAnsi="Times New Roman" w:cs="Times New Roman"/>
          <w:sz w:val="24"/>
          <w:szCs w:val="24"/>
        </w:rPr>
      </w:pPr>
    </w:p>
    <w:p w14:paraId="7DB7578C" w14:textId="77777777" w:rsidR="00BE05C6" w:rsidRDefault="00BE05C6">
      <w:pPr>
        <w:spacing w:after="0" w:line="360" w:lineRule="auto"/>
        <w:jc w:val="both"/>
        <w:rPr>
          <w:rFonts w:ascii="Times New Roman" w:hAnsi="Times New Roman" w:cs="Times New Roman"/>
          <w:sz w:val="24"/>
          <w:szCs w:val="24"/>
        </w:rPr>
      </w:pPr>
    </w:p>
    <w:p w14:paraId="7DB7578D" w14:textId="77777777" w:rsidR="00BE05C6" w:rsidRDefault="00BE05C6">
      <w:pPr>
        <w:spacing w:after="0" w:line="360" w:lineRule="auto"/>
        <w:jc w:val="both"/>
        <w:rPr>
          <w:rFonts w:ascii="Times New Roman" w:hAnsi="Times New Roman" w:cs="Times New Roman"/>
          <w:sz w:val="24"/>
          <w:szCs w:val="24"/>
        </w:rPr>
      </w:pPr>
    </w:p>
    <w:p w14:paraId="7DB7578E" w14:textId="77777777" w:rsidR="00BE05C6" w:rsidRDefault="00BE05C6">
      <w:pPr>
        <w:spacing w:after="0" w:line="360" w:lineRule="auto"/>
        <w:jc w:val="both"/>
        <w:rPr>
          <w:rFonts w:ascii="Times New Roman" w:hAnsi="Times New Roman" w:cs="Times New Roman"/>
          <w:sz w:val="24"/>
          <w:szCs w:val="24"/>
        </w:rPr>
      </w:pPr>
    </w:p>
    <w:p w14:paraId="7DB7578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Direktorica društva EKO Promina d.o.o.</w:t>
      </w:r>
    </w:p>
    <w:p w14:paraId="7DB75790" w14:textId="77777777" w:rsidR="00BE05C6" w:rsidRDefault="00BE05C6">
      <w:pPr>
        <w:spacing w:after="0" w:line="360" w:lineRule="auto"/>
        <w:jc w:val="both"/>
        <w:rPr>
          <w:rFonts w:ascii="Times New Roman" w:hAnsi="Times New Roman" w:cs="Times New Roman"/>
          <w:sz w:val="24"/>
          <w:szCs w:val="24"/>
        </w:rPr>
      </w:pPr>
    </w:p>
    <w:p w14:paraId="7DB7579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 sc. Barbara Nakić-Alfirević, dipl. ing.</w:t>
      </w:r>
    </w:p>
    <w:p w14:paraId="280CF7A2" w14:textId="77777777" w:rsidR="00072FB5" w:rsidRDefault="00072FB5">
      <w:pPr>
        <w:spacing w:after="0" w:line="360" w:lineRule="auto"/>
        <w:jc w:val="both"/>
        <w:rPr>
          <w:rFonts w:ascii="Times New Roman" w:hAnsi="Times New Roman" w:cs="Times New Roman"/>
          <w:sz w:val="24"/>
          <w:szCs w:val="24"/>
        </w:rPr>
      </w:pPr>
    </w:p>
    <w:p w14:paraId="7DB75796" w14:textId="59E457E6"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OPĆI PODACI O DRUŠTVU</w:t>
      </w:r>
    </w:p>
    <w:p w14:paraId="7DB75797" w14:textId="77777777" w:rsidR="00BE05C6" w:rsidRDefault="00BE05C6">
      <w:pPr>
        <w:spacing w:after="0" w:line="360" w:lineRule="auto"/>
        <w:jc w:val="both"/>
        <w:rPr>
          <w:rFonts w:ascii="Times New Roman" w:hAnsi="Times New Roman" w:cs="Times New Roman"/>
          <w:sz w:val="24"/>
          <w:szCs w:val="24"/>
        </w:rPr>
      </w:pPr>
    </w:p>
    <w:p w14:paraId="7DB7579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Društvo Eko Promina d.o.o. posluje sa sjedištem u Oklaju, na adresi Put kroz Oklaj 144. Oklaj je naselje i središte Općine Promina, u Šibensko-kninskoj županiji. Nalazi se oko 14 kilometra sjeverozapadno od Drniša i oko 15 kilometara jugozapadno od Knina. </w:t>
      </w:r>
    </w:p>
    <w:p w14:paraId="7DB75799"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Općina Promina broji 11 naselja na ukupnoj površini cca 140 km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Prema prvim rezultatima popisa stanovništva iz 2021. godine Općina Promina ima 933 stanovnika, što je manje u odnosu na popis stanovništva iz 2011. godine kada je imala 1.136 stanovnika i bitno manje u odnosu na popis stanovništva iz 1991. godine kada je imala 2.574 stanovnika. </w:t>
      </w:r>
    </w:p>
    <w:p w14:paraId="7DB7579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Upravo je to smanjenje broja stanovnika u kombinaciji s nepovoljnom dobnom strukturom označena kao problem broj jedan za budući razvoj općine, što je važno i za sve planove društva EKO Promina d.o.o. koje svoje poslovanje obavlja na području općine. S druge strane općina je bogata mineralnim sirovinama, nalazi se na području NP Krka, te ima očuvan prirodni okoliš. Te su karakteristike označene kao najveći potencijali za budući razvoj općine.</w:t>
      </w:r>
    </w:p>
    <w:p w14:paraId="7DB7579B" w14:textId="77777777" w:rsidR="00BE05C6" w:rsidRDefault="00BE05C6">
      <w:pPr>
        <w:pStyle w:val="Naslov2"/>
        <w:spacing w:before="0" w:line="360" w:lineRule="auto"/>
        <w:rPr>
          <w:rFonts w:ascii="Times New Roman" w:hAnsi="Times New Roman" w:cs="Times New Roman"/>
          <w:color w:val="auto"/>
          <w:sz w:val="24"/>
          <w:szCs w:val="24"/>
        </w:rPr>
      </w:pPr>
      <w:bookmarkStart w:id="0" w:name="_Toc91502621"/>
    </w:p>
    <w:p w14:paraId="7DB7579C" w14:textId="77777777" w:rsidR="00BE05C6" w:rsidRDefault="00000000">
      <w:pPr>
        <w:pStyle w:val="Naslov2"/>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Osnovni podaci o društvu</w:t>
      </w:r>
      <w:bookmarkEnd w:id="0"/>
      <w:r>
        <w:rPr>
          <w:rFonts w:ascii="Times New Roman" w:hAnsi="Times New Roman" w:cs="Times New Roman"/>
          <w:color w:val="auto"/>
          <w:sz w:val="24"/>
          <w:szCs w:val="24"/>
        </w:rPr>
        <w:t>:</w:t>
      </w:r>
    </w:p>
    <w:p w14:paraId="7DB7579D" w14:textId="77777777" w:rsidR="00BE05C6" w:rsidRDefault="00BE05C6">
      <w:pPr>
        <w:spacing w:after="0" w:line="360" w:lineRule="auto"/>
        <w:rPr>
          <w:rFonts w:ascii="Times New Roman" w:hAnsi="Times New Roman" w:cs="Times New Roman"/>
          <w:sz w:val="24"/>
          <w:szCs w:val="24"/>
        </w:rPr>
      </w:pPr>
    </w:p>
    <w:p w14:paraId="7DB7579E"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Naziv: EKO PROMINA društvo s ograničenom odgovornošću za obavljanje komunalnih djelatnosti</w:t>
      </w:r>
    </w:p>
    <w:p w14:paraId="7DB7579F"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Skraćeni naziv: EKO PROMINA d.o.o.</w:t>
      </w:r>
    </w:p>
    <w:p w14:paraId="7DB757A0"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Sjedište: Put kroz Oklaj 144, Oklaj</w:t>
      </w:r>
    </w:p>
    <w:p w14:paraId="7DB757A1"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MBS: 100016114</w:t>
      </w:r>
    </w:p>
    <w:p w14:paraId="7DB757A2"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OIB: 90431466150</w:t>
      </w:r>
    </w:p>
    <w:p w14:paraId="7DB757A3"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Osnivač: Općina Promina</w:t>
      </w:r>
    </w:p>
    <w:p w14:paraId="7DB757A4"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Godina osnivanja: 2009.</w:t>
      </w:r>
    </w:p>
    <w:p w14:paraId="7DB757A5"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Temeljni kapital: 20.000,00 kuna</w:t>
      </w:r>
    </w:p>
    <w:p w14:paraId="7DB757A6"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Djelatnost: 38.11, Skupljanje neopasnog otpada</w:t>
      </w:r>
    </w:p>
    <w:p w14:paraId="7DB757A7"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Telefon: 022 881 046</w:t>
      </w:r>
    </w:p>
    <w:p w14:paraId="7DB757A8"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E-mail: kontakt@eko-promina.hr</w:t>
      </w:r>
    </w:p>
    <w:p w14:paraId="7DB757A9"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Web: </w:t>
      </w:r>
      <w:hyperlink r:id="rId7" w:history="1">
        <w:r>
          <w:rPr>
            <w:rStyle w:val="Hiperveza"/>
            <w:rFonts w:ascii="Times New Roman" w:hAnsi="Times New Roman" w:cs="Times New Roman"/>
            <w:color w:val="auto"/>
            <w:sz w:val="24"/>
            <w:szCs w:val="24"/>
          </w:rPr>
          <w:t>www.eko-promina.hr</w:t>
        </w:r>
      </w:hyperlink>
    </w:p>
    <w:p w14:paraId="7DB757AA" w14:textId="77777777" w:rsidR="00BE05C6" w:rsidRDefault="00000000">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Osoba ovlaštena za zastupanje: Barbara Nakić-Alfirević, član uprave, direktor, zastupa pojedinačno i samostalno</w:t>
      </w:r>
    </w:p>
    <w:p w14:paraId="7DB757AB" w14:textId="77777777" w:rsidR="00BE05C6" w:rsidRDefault="00BE05C6">
      <w:pPr>
        <w:pStyle w:val="Standard"/>
        <w:spacing w:after="0" w:line="360" w:lineRule="auto"/>
        <w:jc w:val="both"/>
        <w:rPr>
          <w:sz w:val="24"/>
        </w:rPr>
      </w:pPr>
    </w:p>
    <w:p w14:paraId="7DB757AC" w14:textId="77777777" w:rsidR="00BE05C6" w:rsidRDefault="00BE05C6">
      <w:pPr>
        <w:pStyle w:val="Standard"/>
        <w:spacing w:after="0" w:line="360" w:lineRule="auto"/>
        <w:jc w:val="both"/>
        <w:rPr>
          <w:sz w:val="24"/>
        </w:rPr>
      </w:pPr>
    </w:p>
    <w:p w14:paraId="7DB757AD" w14:textId="77777777" w:rsidR="00BE05C6" w:rsidRDefault="00000000">
      <w:pPr>
        <w:pStyle w:val="Standard"/>
        <w:spacing w:after="0" w:line="360" w:lineRule="auto"/>
        <w:jc w:val="both"/>
        <w:rPr>
          <w:rFonts w:ascii="Times New Roman" w:hAnsi="Times New Roman" w:cs="Times New Roman"/>
        </w:rPr>
      </w:pPr>
      <w:r>
        <w:rPr>
          <w:rFonts w:ascii="Times New Roman" w:hAnsi="Times New Roman" w:cs="Times New Roman"/>
          <w:sz w:val="24"/>
        </w:rPr>
        <w:lastRenderedPageBreak/>
        <w:t>Osnovne djelatnosti Društva, temeljem upisa u Trgovačkom sudu su:</w:t>
      </w:r>
    </w:p>
    <w:p w14:paraId="7DB757AE" w14:textId="77777777" w:rsidR="00BE05C6" w:rsidRDefault="00000000">
      <w:pPr>
        <w:spacing w:after="0" w:line="360" w:lineRule="auto"/>
        <w:jc w:val="both"/>
        <w:rPr>
          <w:rFonts w:ascii="Times New Roman" w:hAnsi="Times New Roman" w:cs="Times New Roman"/>
        </w:rPr>
      </w:pPr>
      <w:r>
        <w:rPr>
          <w:rFonts w:ascii="Times New Roman" w:hAnsi="Times New Roman" w:cs="Times New Roman"/>
          <w:sz w:val="24"/>
        </w:rPr>
        <w:t>djelatnost organiziranja sajmova, održavanje čistoće, odlaganje komunalnog otpada, održavanje javnih površina, održavanje nerazvrstanih cesta, tržnice na malo, održavanje groblja i krematorija i prijevoz pokojnika, obavljanje dimnjačarskih poslova, javna rasvjeta, djelatnost javne odvodnje otpadnih voda, vodoopskrbna djelatnost, upravljanje grobljem, skupljanje otpada za potrebe drugih, prijevoz otpada za potrebe drugih, posredovanje u organiziranju oporabe i/ili zbrinjavanja otpada u ime drugih, skupljanje, oporabe i/ili zbrinjavanja (oporabe odlaganja, spaljivanja i drugih načina zbrinjavanja otpada) odnosno djelatnost gospodarenja posebnim kategorijama otpada, uređenje zelenih površina, parkova i dječjih igrališta, obavljanje usluga parkirališta, projektiranje, građenje, uporaba i uklanjanje građevina, nadzor nad gradnjom.</w:t>
      </w:r>
    </w:p>
    <w:p w14:paraId="7DB757AF" w14:textId="77777777" w:rsidR="00BE05C6" w:rsidRDefault="00BE05C6">
      <w:pPr>
        <w:pStyle w:val="Naslov2"/>
        <w:spacing w:before="0" w:line="360" w:lineRule="auto"/>
        <w:rPr>
          <w:rFonts w:ascii="Times New Roman" w:hAnsi="Times New Roman" w:cs="Times New Roman"/>
          <w:color w:val="auto"/>
          <w:sz w:val="24"/>
          <w:szCs w:val="24"/>
        </w:rPr>
      </w:pPr>
    </w:p>
    <w:p w14:paraId="7DB757B0" w14:textId="77777777" w:rsidR="00BE05C6" w:rsidRDefault="00000000">
      <w:pPr>
        <w:pStyle w:val="Naslov2"/>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MISIJA</w:t>
      </w:r>
    </w:p>
    <w:p w14:paraId="7DB757B1" w14:textId="77777777" w:rsidR="00BE05C6" w:rsidRDefault="00BE05C6">
      <w:pPr>
        <w:spacing w:after="0" w:line="360" w:lineRule="auto"/>
        <w:rPr>
          <w:rFonts w:ascii="Times New Roman" w:hAnsi="Times New Roman" w:cs="Times New Roman"/>
          <w:sz w:val="24"/>
          <w:szCs w:val="24"/>
        </w:rPr>
      </w:pPr>
    </w:p>
    <w:p w14:paraId="7DB757B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Osigurati, u suradnji s osnivačem, trajne i kvalitetne usluge obavljanja komunalnih poslova koristeći vlastite tehničke i ljudske potencijale, a u cilju trajnog zadovoljstva svih korisnika usluga, kao i zadovoljstva svojih djelatnika.</w:t>
      </w:r>
      <w:bookmarkStart w:id="1" w:name="_Toc91502623"/>
    </w:p>
    <w:p w14:paraId="7DB757B3" w14:textId="77777777" w:rsidR="00BE05C6" w:rsidRDefault="00BE05C6">
      <w:pPr>
        <w:spacing w:after="0" w:line="360" w:lineRule="auto"/>
        <w:jc w:val="both"/>
        <w:rPr>
          <w:rFonts w:ascii="Times New Roman" w:hAnsi="Times New Roman" w:cs="Times New Roman"/>
          <w:sz w:val="24"/>
          <w:szCs w:val="24"/>
        </w:rPr>
      </w:pPr>
    </w:p>
    <w:bookmarkEnd w:id="1"/>
    <w:p w14:paraId="7DB757B4" w14:textId="77777777" w:rsidR="00BE05C6" w:rsidRDefault="00000000">
      <w:pPr>
        <w:pStyle w:val="Naslov2"/>
        <w:spacing w:before="0" w:line="360" w:lineRule="auto"/>
        <w:rPr>
          <w:rFonts w:ascii="Times New Roman" w:hAnsi="Times New Roman" w:cs="Times New Roman"/>
          <w:color w:val="auto"/>
          <w:sz w:val="24"/>
          <w:szCs w:val="24"/>
        </w:rPr>
      </w:pPr>
      <w:r>
        <w:rPr>
          <w:rFonts w:ascii="Times New Roman" w:hAnsi="Times New Roman" w:cs="Times New Roman"/>
          <w:color w:val="auto"/>
          <w:sz w:val="24"/>
          <w:szCs w:val="24"/>
        </w:rPr>
        <w:t>VIZIJA</w:t>
      </w:r>
    </w:p>
    <w:p w14:paraId="7DB757B5" w14:textId="77777777" w:rsidR="00BE05C6" w:rsidRDefault="00BE05C6">
      <w:pPr>
        <w:spacing w:after="0" w:line="360" w:lineRule="auto"/>
        <w:rPr>
          <w:rFonts w:ascii="Times New Roman" w:hAnsi="Times New Roman" w:cs="Times New Roman"/>
          <w:sz w:val="24"/>
          <w:szCs w:val="24"/>
        </w:rPr>
      </w:pPr>
    </w:p>
    <w:p w14:paraId="7DB757B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Biti nezaobilazan partner osnivaču i korisnicima u poslovanju i stvaranju naprednijeg društva.</w:t>
      </w:r>
    </w:p>
    <w:p w14:paraId="7DB757B7" w14:textId="77777777" w:rsidR="00BE05C6" w:rsidRDefault="00BE05C6">
      <w:pPr>
        <w:spacing w:after="0" w:line="360" w:lineRule="auto"/>
        <w:rPr>
          <w:rFonts w:ascii="Times New Roman" w:hAnsi="Times New Roman" w:cs="Times New Roman"/>
          <w:sz w:val="24"/>
          <w:szCs w:val="24"/>
        </w:rPr>
      </w:pPr>
    </w:p>
    <w:p w14:paraId="7DB757B8" w14:textId="77777777" w:rsidR="00BE05C6"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U tablici 1. prikazan je broj zaposlenika po radnim mjestima.</w:t>
      </w:r>
    </w:p>
    <w:p w14:paraId="7DB757B9" w14:textId="77777777" w:rsidR="00BE05C6" w:rsidRDefault="00BE05C6">
      <w:pPr>
        <w:spacing w:after="0" w:line="360" w:lineRule="auto"/>
        <w:rPr>
          <w:rFonts w:ascii="Times New Roman" w:hAnsi="Times New Roman" w:cs="Times New Roman"/>
          <w:sz w:val="24"/>
          <w:szCs w:val="24"/>
        </w:rPr>
      </w:pPr>
    </w:p>
    <w:p w14:paraId="7DB757BA"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1. Broj zaposlenika po radnim mjestima</w:t>
      </w:r>
    </w:p>
    <w:tbl>
      <w:tblPr>
        <w:tblStyle w:val="Reetkatablice"/>
        <w:tblW w:w="0" w:type="auto"/>
        <w:tblLook w:val="04A0" w:firstRow="1" w:lastRow="0" w:firstColumn="1" w:lastColumn="0" w:noHBand="0" w:noVBand="1"/>
      </w:tblPr>
      <w:tblGrid>
        <w:gridCol w:w="4672"/>
        <w:gridCol w:w="4672"/>
      </w:tblGrid>
      <w:tr w:rsidR="00BE05C6" w14:paraId="7DB757BD" w14:textId="77777777">
        <w:tc>
          <w:tcPr>
            <w:tcW w:w="4672" w:type="dxa"/>
          </w:tcPr>
          <w:p w14:paraId="7DB757B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Radno mjesto</w:t>
            </w:r>
          </w:p>
        </w:tc>
        <w:tc>
          <w:tcPr>
            <w:tcW w:w="4672" w:type="dxa"/>
          </w:tcPr>
          <w:p w14:paraId="7DB757B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Broj</w:t>
            </w:r>
          </w:p>
        </w:tc>
      </w:tr>
      <w:tr w:rsidR="00BE05C6" w14:paraId="7DB757C0" w14:textId="77777777">
        <w:tc>
          <w:tcPr>
            <w:tcW w:w="4672" w:type="dxa"/>
          </w:tcPr>
          <w:p w14:paraId="7DB757B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Direktorica</w:t>
            </w:r>
          </w:p>
        </w:tc>
        <w:tc>
          <w:tcPr>
            <w:tcW w:w="4672" w:type="dxa"/>
          </w:tcPr>
          <w:p w14:paraId="7DB757B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05C6" w14:paraId="7DB757C3" w14:textId="77777777">
        <w:tc>
          <w:tcPr>
            <w:tcW w:w="4672" w:type="dxa"/>
          </w:tcPr>
          <w:p w14:paraId="7DB757C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Vozač motornog vozila</w:t>
            </w:r>
          </w:p>
        </w:tc>
        <w:tc>
          <w:tcPr>
            <w:tcW w:w="4672" w:type="dxa"/>
          </w:tcPr>
          <w:p w14:paraId="7DB757C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05C6" w14:paraId="7DB757C6" w14:textId="77777777">
        <w:tc>
          <w:tcPr>
            <w:tcW w:w="4672" w:type="dxa"/>
          </w:tcPr>
          <w:p w14:paraId="7DB757C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Radnik na prikupljanju otpada i na održavanju javnih i zelenih površina</w:t>
            </w:r>
          </w:p>
        </w:tc>
        <w:tc>
          <w:tcPr>
            <w:tcW w:w="4672" w:type="dxa"/>
          </w:tcPr>
          <w:p w14:paraId="7DB757C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7DB757C7" w14:textId="77777777" w:rsidR="00BE05C6" w:rsidRDefault="00BE05C6">
      <w:pPr>
        <w:spacing w:after="0" w:line="360" w:lineRule="auto"/>
        <w:rPr>
          <w:rFonts w:ascii="Times New Roman" w:hAnsi="Times New Roman" w:cs="Times New Roman"/>
          <w:sz w:val="24"/>
          <w:szCs w:val="24"/>
        </w:rPr>
      </w:pPr>
    </w:p>
    <w:p w14:paraId="7DB757C8" w14:textId="77777777" w:rsidR="00BE05C6" w:rsidRDefault="00BE05C6">
      <w:pPr>
        <w:spacing w:after="0" w:line="360" w:lineRule="auto"/>
        <w:rPr>
          <w:rFonts w:ascii="Times New Roman" w:hAnsi="Times New Roman" w:cs="Times New Roman"/>
          <w:sz w:val="24"/>
          <w:szCs w:val="24"/>
        </w:rPr>
      </w:pPr>
    </w:p>
    <w:p w14:paraId="7DB757C9" w14:textId="77777777" w:rsidR="00BE05C6" w:rsidRDefault="00BE05C6">
      <w:pPr>
        <w:spacing w:after="0" w:line="360" w:lineRule="auto"/>
        <w:rPr>
          <w:rFonts w:ascii="Times New Roman" w:hAnsi="Times New Roman" w:cs="Times New Roman"/>
          <w:sz w:val="24"/>
          <w:szCs w:val="24"/>
        </w:rPr>
      </w:pPr>
    </w:p>
    <w:p w14:paraId="7DB757CA" w14:textId="77777777" w:rsidR="00BE05C6" w:rsidRDefault="00BE05C6">
      <w:pPr>
        <w:spacing w:after="0" w:line="360" w:lineRule="auto"/>
        <w:rPr>
          <w:rFonts w:ascii="Times New Roman" w:hAnsi="Times New Roman" w:cs="Times New Roman"/>
          <w:sz w:val="24"/>
          <w:szCs w:val="24"/>
        </w:rPr>
      </w:pPr>
    </w:p>
    <w:p w14:paraId="7DB757CB" w14:textId="77777777" w:rsidR="00BE05C6" w:rsidRDefault="00BE05C6">
      <w:pPr>
        <w:spacing w:after="0" w:line="360" w:lineRule="auto"/>
        <w:rPr>
          <w:rFonts w:ascii="Times New Roman" w:hAnsi="Times New Roman" w:cs="Times New Roman"/>
          <w:sz w:val="24"/>
          <w:szCs w:val="24"/>
        </w:rPr>
      </w:pPr>
    </w:p>
    <w:p w14:paraId="7DB757CC" w14:textId="77777777" w:rsidR="00BE05C6"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 tablici 2. prikazana je kvalifikacijska struktura zaposlenika u 2023. godini.</w:t>
      </w:r>
    </w:p>
    <w:p w14:paraId="7DB757CD" w14:textId="77777777" w:rsidR="00BE05C6" w:rsidRDefault="00BE05C6">
      <w:pPr>
        <w:spacing w:after="0" w:line="360" w:lineRule="auto"/>
        <w:rPr>
          <w:rFonts w:ascii="Times New Roman" w:hAnsi="Times New Roman" w:cs="Times New Roman"/>
          <w:sz w:val="24"/>
          <w:szCs w:val="24"/>
        </w:rPr>
      </w:pPr>
    </w:p>
    <w:p w14:paraId="7DB757CE"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2. Kvalifikacijska struktura zaposlenika u 2023. godini</w:t>
      </w:r>
    </w:p>
    <w:tbl>
      <w:tblPr>
        <w:tblStyle w:val="Reetkatablice"/>
        <w:tblW w:w="0" w:type="auto"/>
        <w:jc w:val="center"/>
        <w:tblLook w:val="04A0" w:firstRow="1" w:lastRow="0" w:firstColumn="1" w:lastColumn="0" w:noHBand="0" w:noVBand="1"/>
      </w:tblPr>
      <w:tblGrid>
        <w:gridCol w:w="4672"/>
        <w:gridCol w:w="4672"/>
      </w:tblGrid>
      <w:tr w:rsidR="00BE05C6" w14:paraId="7DB757D1" w14:textId="77777777">
        <w:trPr>
          <w:jc w:val="center"/>
        </w:trPr>
        <w:tc>
          <w:tcPr>
            <w:tcW w:w="4672" w:type="dxa"/>
          </w:tcPr>
          <w:p w14:paraId="7DB757C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Stupanj kvalificiranosti</w:t>
            </w:r>
          </w:p>
        </w:tc>
        <w:tc>
          <w:tcPr>
            <w:tcW w:w="4672" w:type="dxa"/>
          </w:tcPr>
          <w:p w14:paraId="7DB757D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Broj zaposlenika</w:t>
            </w:r>
          </w:p>
        </w:tc>
      </w:tr>
      <w:tr w:rsidR="00BE05C6" w14:paraId="7DB757D4" w14:textId="77777777">
        <w:trPr>
          <w:jc w:val="center"/>
        </w:trPr>
        <w:tc>
          <w:tcPr>
            <w:tcW w:w="4672" w:type="dxa"/>
          </w:tcPr>
          <w:p w14:paraId="7DB757D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VSS i više</w:t>
            </w:r>
          </w:p>
        </w:tc>
        <w:tc>
          <w:tcPr>
            <w:tcW w:w="4672" w:type="dxa"/>
          </w:tcPr>
          <w:p w14:paraId="7DB757D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E05C6" w14:paraId="7DB757D7" w14:textId="77777777">
        <w:trPr>
          <w:jc w:val="center"/>
        </w:trPr>
        <w:tc>
          <w:tcPr>
            <w:tcW w:w="4672" w:type="dxa"/>
          </w:tcPr>
          <w:p w14:paraId="7DB757D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4672" w:type="dxa"/>
          </w:tcPr>
          <w:p w14:paraId="7DB757D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E05C6" w14:paraId="7DB757DA" w14:textId="77777777">
        <w:trPr>
          <w:jc w:val="center"/>
        </w:trPr>
        <w:tc>
          <w:tcPr>
            <w:tcW w:w="4672" w:type="dxa"/>
          </w:tcPr>
          <w:p w14:paraId="7DB757D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PKV, NSS</w:t>
            </w:r>
          </w:p>
        </w:tc>
        <w:tc>
          <w:tcPr>
            <w:tcW w:w="4672" w:type="dxa"/>
          </w:tcPr>
          <w:p w14:paraId="7DB757D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7DB757DB" w14:textId="77777777" w:rsidR="00BE05C6" w:rsidRDefault="00BE05C6">
      <w:pPr>
        <w:spacing w:after="0" w:line="360" w:lineRule="auto"/>
        <w:rPr>
          <w:rFonts w:ascii="Times New Roman" w:hAnsi="Times New Roman" w:cs="Times New Roman"/>
          <w:sz w:val="24"/>
          <w:szCs w:val="24"/>
        </w:rPr>
      </w:pPr>
    </w:p>
    <w:p w14:paraId="7DB757DC"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Vlastite dionice:</w:t>
      </w:r>
    </w:p>
    <w:p w14:paraId="7DB757DD" w14:textId="77777777" w:rsidR="00BE05C6" w:rsidRDefault="00BE05C6">
      <w:pPr>
        <w:spacing w:after="0" w:line="360" w:lineRule="auto"/>
        <w:jc w:val="both"/>
        <w:rPr>
          <w:rFonts w:ascii="Times New Roman" w:hAnsi="Times New Roman" w:cs="Times New Roman"/>
          <w:sz w:val="24"/>
          <w:szCs w:val="24"/>
        </w:rPr>
      </w:pPr>
    </w:p>
    <w:p w14:paraId="7DB757DE"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Društvo EKO Promina d.o.o. nema vlastitih dionica.</w:t>
      </w:r>
    </w:p>
    <w:p w14:paraId="7DB757DF" w14:textId="77777777" w:rsidR="00BE05C6" w:rsidRDefault="00BE05C6">
      <w:pPr>
        <w:spacing w:after="0" w:line="360" w:lineRule="auto"/>
        <w:jc w:val="both"/>
        <w:rPr>
          <w:rFonts w:ascii="Times New Roman" w:hAnsi="Times New Roman" w:cs="Times New Roman"/>
          <w:sz w:val="24"/>
          <w:szCs w:val="24"/>
        </w:rPr>
      </w:pPr>
    </w:p>
    <w:p w14:paraId="7DB757E0"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Podružnice:</w:t>
      </w:r>
    </w:p>
    <w:p w14:paraId="7DB757E1" w14:textId="77777777" w:rsidR="00BE05C6" w:rsidRDefault="00BE05C6">
      <w:pPr>
        <w:spacing w:after="0" w:line="360" w:lineRule="auto"/>
        <w:jc w:val="both"/>
        <w:rPr>
          <w:rFonts w:ascii="Times New Roman" w:hAnsi="Times New Roman" w:cs="Times New Roman"/>
          <w:sz w:val="24"/>
          <w:szCs w:val="24"/>
        </w:rPr>
      </w:pPr>
    </w:p>
    <w:p w14:paraId="7DB757E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Društvo EKO Promina d.o.o. nema podružnica.</w:t>
      </w:r>
    </w:p>
    <w:p w14:paraId="7DB757E3" w14:textId="77777777" w:rsidR="00BE05C6" w:rsidRDefault="00BE05C6">
      <w:pPr>
        <w:spacing w:after="0" w:line="360" w:lineRule="auto"/>
        <w:jc w:val="both"/>
        <w:rPr>
          <w:rFonts w:ascii="Times New Roman" w:hAnsi="Times New Roman" w:cs="Times New Roman"/>
          <w:sz w:val="24"/>
          <w:szCs w:val="24"/>
        </w:rPr>
      </w:pPr>
    </w:p>
    <w:p w14:paraId="7DB757E4" w14:textId="77777777" w:rsidR="00BE05C6" w:rsidRDefault="00BE05C6">
      <w:pPr>
        <w:spacing w:after="0" w:line="360" w:lineRule="auto"/>
        <w:jc w:val="both"/>
        <w:rPr>
          <w:rFonts w:ascii="Times New Roman" w:hAnsi="Times New Roman" w:cs="Times New Roman"/>
          <w:sz w:val="24"/>
          <w:szCs w:val="24"/>
        </w:rPr>
      </w:pPr>
    </w:p>
    <w:p w14:paraId="7DB757E5" w14:textId="77777777" w:rsidR="00BE05C6" w:rsidRDefault="00BE05C6">
      <w:pPr>
        <w:spacing w:after="0" w:line="360" w:lineRule="auto"/>
        <w:jc w:val="both"/>
        <w:rPr>
          <w:rFonts w:ascii="Times New Roman" w:hAnsi="Times New Roman" w:cs="Times New Roman"/>
          <w:sz w:val="24"/>
          <w:szCs w:val="24"/>
        </w:rPr>
      </w:pPr>
    </w:p>
    <w:p w14:paraId="7DB757E6" w14:textId="77777777" w:rsidR="00BE05C6" w:rsidRDefault="00BE05C6">
      <w:pPr>
        <w:spacing w:after="0" w:line="360" w:lineRule="auto"/>
        <w:jc w:val="both"/>
        <w:rPr>
          <w:rFonts w:ascii="Times New Roman" w:hAnsi="Times New Roman" w:cs="Times New Roman"/>
          <w:sz w:val="24"/>
          <w:szCs w:val="24"/>
        </w:rPr>
      </w:pPr>
    </w:p>
    <w:p w14:paraId="7DB757E7" w14:textId="77777777" w:rsidR="00BE05C6" w:rsidRDefault="00BE05C6">
      <w:pPr>
        <w:spacing w:after="0" w:line="360" w:lineRule="auto"/>
        <w:jc w:val="both"/>
        <w:rPr>
          <w:rFonts w:ascii="Times New Roman" w:hAnsi="Times New Roman" w:cs="Times New Roman"/>
          <w:sz w:val="24"/>
          <w:szCs w:val="24"/>
        </w:rPr>
      </w:pPr>
    </w:p>
    <w:p w14:paraId="7DB757E8" w14:textId="77777777" w:rsidR="00BE05C6" w:rsidRDefault="00BE05C6">
      <w:pPr>
        <w:spacing w:after="0" w:line="360" w:lineRule="auto"/>
        <w:jc w:val="both"/>
        <w:rPr>
          <w:rFonts w:ascii="Times New Roman" w:hAnsi="Times New Roman" w:cs="Times New Roman"/>
          <w:sz w:val="24"/>
          <w:szCs w:val="24"/>
        </w:rPr>
      </w:pPr>
    </w:p>
    <w:p w14:paraId="7DB757E9" w14:textId="77777777" w:rsidR="00BE05C6" w:rsidRDefault="00BE05C6">
      <w:pPr>
        <w:spacing w:after="0" w:line="360" w:lineRule="auto"/>
        <w:jc w:val="both"/>
        <w:rPr>
          <w:rFonts w:ascii="Times New Roman" w:hAnsi="Times New Roman" w:cs="Times New Roman"/>
          <w:sz w:val="24"/>
          <w:szCs w:val="24"/>
        </w:rPr>
      </w:pPr>
    </w:p>
    <w:p w14:paraId="7DB757EA" w14:textId="77777777" w:rsidR="00BE05C6" w:rsidRDefault="00BE05C6">
      <w:pPr>
        <w:spacing w:after="0" w:line="360" w:lineRule="auto"/>
        <w:jc w:val="both"/>
        <w:rPr>
          <w:rFonts w:ascii="Times New Roman" w:hAnsi="Times New Roman" w:cs="Times New Roman"/>
          <w:sz w:val="24"/>
          <w:szCs w:val="24"/>
        </w:rPr>
      </w:pPr>
    </w:p>
    <w:p w14:paraId="7DB757EB" w14:textId="77777777" w:rsidR="00BE05C6" w:rsidRDefault="00BE05C6">
      <w:pPr>
        <w:spacing w:after="0" w:line="360" w:lineRule="auto"/>
        <w:jc w:val="both"/>
        <w:rPr>
          <w:rFonts w:ascii="Times New Roman" w:hAnsi="Times New Roman" w:cs="Times New Roman"/>
          <w:sz w:val="24"/>
          <w:szCs w:val="24"/>
        </w:rPr>
      </w:pPr>
    </w:p>
    <w:p w14:paraId="7DB757EC" w14:textId="77777777" w:rsidR="00BE05C6" w:rsidRDefault="00BE05C6">
      <w:pPr>
        <w:spacing w:after="0" w:line="360" w:lineRule="auto"/>
        <w:jc w:val="both"/>
        <w:rPr>
          <w:rFonts w:ascii="Times New Roman" w:hAnsi="Times New Roman" w:cs="Times New Roman"/>
          <w:sz w:val="24"/>
          <w:szCs w:val="24"/>
        </w:rPr>
      </w:pPr>
    </w:p>
    <w:p w14:paraId="7DB757ED" w14:textId="77777777" w:rsidR="00BE05C6" w:rsidRDefault="00BE05C6">
      <w:pPr>
        <w:spacing w:after="0" w:line="360" w:lineRule="auto"/>
        <w:jc w:val="both"/>
        <w:rPr>
          <w:rFonts w:ascii="Times New Roman" w:hAnsi="Times New Roman" w:cs="Times New Roman"/>
          <w:sz w:val="24"/>
          <w:szCs w:val="24"/>
        </w:rPr>
      </w:pPr>
    </w:p>
    <w:p w14:paraId="7DB757EE" w14:textId="77777777" w:rsidR="00BE05C6" w:rsidRDefault="00BE05C6">
      <w:pPr>
        <w:spacing w:after="0" w:line="360" w:lineRule="auto"/>
        <w:jc w:val="both"/>
        <w:rPr>
          <w:rFonts w:ascii="Times New Roman" w:hAnsi="Times New Roman" w:cs="Times New Roman"/>
          <w:sz w:val="24"/>
          <w:szCs w:val="24"/>
        </w:rPr>
      </w:pPr>
    </w:p>
    <w:p w14:paraId="7DB757EF" w14:textId="77777777" w:rsidR="00BE05C6" w:rsidRDefault="00BE05C6">
      <w:pPr>
        <w:spacing w:after="0" w:line="360" w:lineRule="auto"/>
        <w:jc w:val="both"/>
        <w:rPr>
          <w:rFonts w:ascii="Times New Roman" w:hAnsi="Times New Roman" w:cs="Times New Roman"/>
          <w:sz w:val="24"/>
          <w:szCs w:val="24"/>
        </w:rPr>
      </w:pPr>
    </w:p>
    <w:p w14:paraId="7DB757F0" w14:textId="77777777" w:rsidR="00BE05C6" w:rsidRDefault="00BE05C6">
      <w:pPr>
        <w:spacing w:after="0" w:line="360" w:lineRule="auto"/>
        <w:jc w:val="both"/>
        <w:rPr>
          <w:rFonts w:ascii="Times New Roman" w:hAnsi="Times New Roman" w:cs="Times New Roman"/>
          <w:sz w:val="24"/>
          <w:szCs w:val="24"/>
        </w:rPr>
      </w:pPr>
    </w:p>
    <w:p w14:paraId="7DB757F1" w14:textId="77777777" w:rsidR="00BE05C6" w:rsidRDefault="00BE05C6">
      <w:pPr>
        <w:spacing w:after="0" w:line="360" w:lineRule="auto"/>
        <w:jc w:val="both"/>
        <w:rPr>
          <w:rFonts w:ascii="Times New Roman" w:hAnsi="Times New Roman" w:cs="Times New Roman"/>
          <w:sz w:val="24"/>
          <w:szCs w:val="24"/>
        </w:rPr>
      </w:pPr>
    </w:p>
    <w:p w14:paraId="7DB757F2" w14:textId="77777777" w:rsidR="00BE05C6" w:rsidRDefault="00BE05C6">
      <w:pPr>
        <w:spacing w:after="0" w:line="360" w:lineRule="auto"/>
        <w:jc w:val="both"/>
        <w:rPr>
          <w:rFonts w:ascii="Times New Roman" w:hAnsi="Times New Roman" w:cs="Times New Roman"/>
          <w:sz w:val="24"/>
          <w:szCs w:val="24"/>
        </w:rPr>
      </w:pPr>
    </w:p>
    <w:p w14:paraId="7DB757F3" w14:textId="77777777" w:rsidR="00BE05C6" w:rsidRDefault="00BE05C6">
      <w:pPr>
        <w:spacing w:after="0" w:line="360" w:lineRule="auto"/>
        <w:jc w:val="both"/>
        <w:rPr>
          <w:rFonts w:ascii="Times New Roman" w:hAnsi="Times New Roman" w:cs="Times New Roman"/>
          <w:sz w:val="24"/>
          <w:szCs w:val="24"/>
        </w:rPr>
      </w:pPr>
    </w:p>
    <w:p w14:paraId="7DB757F4" w14:textId="77777777" w:rsidR="00BE05C6" w:rsidRDefault="00BE05C6">
      <w:pPr>
        <w:spacing w:after="0" w:line="360" w:lineRule="auto"/>
        <w:jc w:val="both"/>
        <w:rPr>
          <w:rFonts w:ascii="Times New Roman" w:hAnsi="Times New Roman" w:cs="Times New Roman"/>
          <w:sz w:val="24"/>
          <w:szCs w:val="24"/>
        </w:rPr>
      </w:pPr>
    </w:p>
    <w:p w14:paraId="7DB757F5" w14:textId="77777777" w:rsidR="00BE05C6" w:rsidRDefault="00BE05C6">
      <w:pPr>
        <w:spacing w:after="0" w:line="360" w:lineRule="auto"/>
        <w:jc w:val="both"/>
        <w:rPr>
          <w:rFonts w:ascii="Times New Roman" w:hAnsi="Times New Roman" w:cs="Times New Roman"/>
          <w:sz w:val="24"/>
          <w:szCs w:val="24"/>
        </w:rPr>
      </w:pPr>
    </w:p>
    <w:p w14:paraId="7DB757F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DJELATNOST PRIKUPLJANJA OTPADA</w:t>
      </w:r>
    </w:p>
    <w:p w14:paraId="7DB757F7" w14:textId="77777777" w:rsidR="00BE05C6" w:rsidRDefault="00BE05C6">
      <w:pPr>
        <w:spacing w:after="0" w:line="360" w:lineRule="auto"/>
        <w:jc w:val="both"/>
        <w:rPr>
          <w:rFonts w:ascii="Times New Roman" w:hAnsi="Times New Roman" w:cs="Times New Roman"/>
          <w:sz w:val="24"/>
          <w:szCs w:val="24"/>
        </w:rPr>
      </w:pPr>
    </w:p>
    <w:p w14:paraId="7DB757F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UVOD</w:t>
      </w:r>
    </w:p>
    <w:p w14:paraId="7DB757F9" w14:textId="77777777" w:rsidR="00BE05C6" w:rsidRDefault="00BE05C6">
      <w:pPr>
        <w:spacing w:after="0" w:line="360" w:lineRule="auto"/>
        <w:jc w:val="both"/>
        <w:rPr>
          <w:rFonts w:ascii="Times New Roman" w:hAnsi="Times New Roman" w:cs="Times New Roman"/>
          <w:sz w:val="24"/>
          <w:szCs w:val="24"/>
        </w:rPr>
      </w:pPr>
    </w:p>
    <w:p w14:paraId="7DB757F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 srpnju 2021. godine donesen je novi Zakon o gospodarenju otpadom (u daljnjem tekstu: Zakon) Slijedom toga 8. veljače 2022. godine na svojoj 5. sjednici Općinsko vijeće Općine Promina je donijelo Odluku o načinu pružanja javne usluge sakupljanja komunalnog otpada na području Općine Promina, a koja je usklađena s člankom 66. Zakona. Prema Zakonu o gospodarenju otpadom cijena minimalne javne usluge podijeljena je u dvije kategorije: onu koju plaća kućanstvo te u onu koju plaća onaj koji to nije (u ovu kategoriju spadaju, prema stavku 3. članka 70. Zakona, i iznajmljivači koji kao fizičke osobe pružaju ugostiteljske usluge u domaćinstvu). Zakonom je propisano da davatelj javne usluge može umanjiti cijenu javne usluge da bi poticao korisnika da odvojeno predaje otpad ili da kompostira biootpad. Stoga je ovo društvo Odluku o načinu pružanja javne usluge sakupljanja komunalnog otpada na području Općine Promina, osiguralo umanjenje mjesečne cijene javne usluge za 5,00 kuna korisnicima koji kompostiraju otpad. Zakonom je propisano i da korisnici iz kategorije koja nije kućanstvo moraju posebno ugovarati odvoz odvojeno sakupljenog otpada, što davatelju javne usluge daje mogućnost dodatne zarade od prikupljanja takvog otpada. U 2023. godini nijedan korisnik iz kategorije koji nije kućanstvo nije od ovog društva, kao davatelja javne usluge, zatražio posebno ugovaranje odvoza odvojeno sakupljenog otpada. </w:t>
      </w:r>
    </w:p>
    <w:p w14:paraId="7DB757FB" w14:textId="77777777" w:rsidR="00BE05C6" w:rsidRDefault="00BE05C6">
      <w:pPr>
        <w:spacing w:after="0" w:line="360" w:lineRule="auto"/>
        <w:jc w:val="both"/>
        <w:rPr>
          <w:rFonts w:ascii="Times New Roman" w:hAnsi="Times New Roman" w:cs="Times New Roman"/>
          <w:sz w:val="24"/>
          <w:szCs w:val="24"/>
        </w:rPr>
      </w:pPr>
    </w:p>
    <w:p w14:paraId="7DB757FC"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Javna usluga prikupljanja komunalnog otpada obuhvaća:</w:t>
      </w:r>
    </w:p>
    <w:p w14:paraId="7DB757FD" w14:textId="77777777" w:rsidR="00BE05C6" w:rsidRDefault="00000000">
      <w:pPr>
        <w:pStyle w:val="Odlomakpopisa"/>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prikupljanje od „vrata do vrata“ miješanog komunalnog otpada putem zelenog spremnika, reciklabilnog komunalnog otpada (plastična ambalaža i metalna ambalaža putem žutog spremnika, miješani papir i karton putem plavog spremnika) te glomaznog otpada do 2 m</w:t>
      </w:r>
      <w:r>
        <w:rPr>
          <w:rFonts w:ascii="Times New Roman" w:hAnsi="Times New Roman" w:cs="Times New Roman"/>
          <w:sz w:val="24"/>
          <w:szCs w:val="24"/>
          <w:vertAlign w:val="superscript"/>
        </w:rPr>
        <w:t>3</w:t>
      </w:r>
    </w:p>
    <w:p w14:paraId="7DB757FE" w14:textId="77777777" w:rsidR="00BE05C6" w:rsidRDefault="00000000">
      <w:pPr>
        <w:pStyle w:val="Odlomakpopisa"/>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prikupljanje reciklabilnog komunalnog otpada - staklena ambalaža putem zelenih spremnika od 2,5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postavljenih na javnoj površini u svih 11 naselja Općine Promina</w:t>
      </w:r>
    </w:p>
    <w:p w14:paraId="7DB757FF" w14:textId="77777777" w:rsidR="00BE05C6" w:rsidRDefault="00000000">
      <w:pPr>
        <w:pStyle w:val="Odlomakpopisa"/>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preuzimanje otpada u mobilnom reciklažnom dvorištu svih vrsta otpada propisanih Pravilnikom o načinu rada mobilnog reciklažnog dvorišta</w:t>
      </w:r>
    </w:p>
    <w:p w14:paraId="7DB75800" w14:textId="77777777" w:rsidR="00BE05C6" w:rsidRDefault="00000000">
      <w:pPr>
        <w:pStyle w:val="Odlomakpopisa"/>
        <w:numPr>
          <w:ilvl w:val="0"/>
          <w:numId w:val="21"/>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uslugu prijevoza i predaje otpada ovlaštenoj osobi</w:t>
      </w:r>
    </w:p>
    <w:p w14:paraId="7DB75801" w14:textId="77777777" w:rsidR="00BE05C6" w:rsidRDefault="00BE05C6">
      <w:pPr>
        <w:spacing w:after="0" w:line="360" w:lineRule="auto"/>
        <w:jc w:val="both"/>
        <w:rPr>
          <w:rFonts w:ascii="Times New Roman" w:hAnsi="Times New Roman" w:cs="Times New Roman"/>
          <w:sz w:val="24"/>
          <w:szCs w:val="24"/>
        </w:rPr>
      </w:pPr>
    </w:p>
    <w:p w14:paraId="7DB7580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Javna usluga sakupljanja komunalnog otpada podrazumijeva prikupljanje komunalnog otpada od pojedinog korisnika i prijevoz i predaju tog otpada ovlaštenoj osobi za obradu takvog otpada. Financira se iz sredstava prikupljenih naplatom cijene javne usluge i ugovorne kazne, a može se </w:t>
      </w:r>
      <w:r>
        <w:rPr>
          <w:rFonts w:ascii="Times New Roman" w:hAnsi="Times New Roman" w:cs="Times New Roman"/>
          <w:sz w:val="24"/>
          <w:szCs w:val="24"/>
        </w:rPr>
        <w:lastRenderedPageBreak/>
        <w:t>financirati iz proračuna jedinice lokalne samouprave i iz drugih sredstava. Predviđeno je Zakonom da Fond za zaštitu okoliša i energetsku učinkovitost financira troškove javne usluge (uslugu prikupljanja na lokaciji obračunskog mjesta korisnika usluge, uslugu preuzimanja otpada u reciklažnom dvorištu i uslugu prijevoza i predaje otpada ovlaštenoj osobi) za tokove otpada koji se sastoje pretežito od otpadne ambalaže iz sredstava prikupljenih naplatom naknade gospodarenja otpadom. Predviđeno je da se troškovi javne usluge od strane Fond za zaštitu okoliša i energetsku učinkovitost financiraju temeljem sporazuma Fond za zaštitu okoliša i energetsku učinkovitost i davatelja javne usluge kojim se određuju uvjeti sakupljanja i predaje reciklabilnog komunalnog otpada. Ovom društvu, kao davatelju javne usluge, nije poznato jeli ijedan takav sporazum potpisan. Nakana ovog društva, kao davatelja javne usluge, jest da općina bude kvalitetno pokrivena infrastrukturom za prikupljanje otpada. Sva potrebna infrastruktura je definirana Planom gospodarenja otpadom Općine Promina. Sada svi korisnici ovog društva, kao davatelja javne usluge, imaju zeleni spremnik za miješani komunalni otpad koji je označen bar kodom i čipom preko kojih se vodi evidencija o preuzetom komunalnom otpadu. Također imaju i žuti spremnik za odvojeno prikupljanje metalne i plastične ambalaže. Velika većina ima i plavi spremnik za odvojeno prikupljanje miješanog papira i kartona. U 2022. godini društvo je kupilo dodatne plave spremnike, uz su financiju Fonda za zaštitu okoliša i energetsku učinkovitost, koje je počelo dijeliti korisnicima koji ga nisu imali.</w:t>
      </w:r>
    </w:p>
    <w:p w14:paraId="7DB7580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Miješani komunalni otpad se, za sada, predaje na odlagalište komunalnog otpada Mala Promina. Nakon uspostave cjelovitog sustava gospodarenja otpadom na području Šibensko-kninske županije, odnosno izgradnje i otvaranja centra za gospodarenje otpadom Bikarac d.o.o. očekuje se sanacija i kompletno zatvaranje odlagališta komunalnog otpada Mala Promina, nakon čega će se miješani komunalni otpad predavati u spomenuti centar za gospodarenje otpadom Bikarac d.o.o. Glomazni otpad se predaje u centar za gospodarenje otpadom Bikarac d.o.o.</w:t>
      </w:r>
    </w:p>
    <w:p w14:paraId="7DB75804"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prikupljena metalna i plastična ambalaža, miješani papir i karton te staklena ambalaža predaje se tvrtki Jolly EKO d.o.o.</w:t>
      </w:r>
    </w:p>
    <w:p w14:paraId="7DB7580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Sav ostali odvojeno prikupljeni otpad, putem mobilnog reciklažnog dvorišta, predaje se ovlaštenom sakupljaču.</w:t>
      </w:r>
    </w:p>
    <w:p w14:paraId="7DB75806" w14:textId="77777777" w:rsidR="00BE05C6" w:rsidRDefault="00BE05C6">
      <w:pPr>
        <w:spacing w:after="0" w:line="360" w:lineRule="auto"/>
        <w:jc w:val="both"/>
        <w:rPr>
          <w:rFonts w:ascii="Times New Roman" w:hAnsi="Times New Roman" w:cs="Times New Roman"/>
          <w:sz w:val="24"/>
          <w:szCs w:val="24"/>
        </w:rPr>
      </w:pPr>
    </w:p>
    <w:p w14:paraId="7DB75807"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Obrazac Izvješća o radu </w:t>
      </w:r>
    </w:p>
    <w:p w14:paraId="7DB75808" w14:textId="77777777" w:rsidR="00BE05C6" w:rsidRDefault="00BE05C6">
      <w:pPr>
        <w:spacing w:after="0" w:line="360" w:lineRule="auto"/>
        <w:jc w:val="both"/>
        <w:rPr>
          <w:rFonts w:ascii="Times New Roman" w:hAnsi="Times New Roman" w:cs="Times New Roman"/>
          <w:sz w:val="24"/>
          <w:szCs w:val="24"/>
        </w:rPr>
      </w:pPr>
    </w:p>
    <w:p w14:paraId="7DB75809"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Temeljem stavka 4. članka 69. Zakona o svom radu davatelj javne usluge dužan je predstavničkom tijelu jedinice lokalne samouprave podnijeti Izvješće o radu do 31. ožujka tekuće godine za prethodnu kalendarsku godinu te isti dostaviti Ministarstvu gospodarstva i održivog razvoja. </w:t>
      </w:r>
      <w:r>
        <w:rPr>
          <w:rFonts w:ascii="Times New Roman" w:hAnsi="Times New Roman" w:cs="Times New Roman"/>
          <w:sz w:val="24"/>
          <w:szCs w:val="24"/>
        </w:rPr>
        <w:lastRenderedPageBreak/>
        <w:t>Izvješće o radu sadrži opće podatke o području pružanja javne usluge, obračunskim mjestima, korisnicima usluge i odvojenom prikupljanju otpada, podatke o redovitosti sustava, podatke o kvaliteti pružanja javne usluge i ekonomskoj učinkovitosti sustava sakupljanja komunalnog otpada. Obrazac Izvješća o radu objavljuje se na mrežnoj stranici Ministarstva gospodarstva i održivog razvoja.</w:t>
      </w:r>
    </w:p>
    <w:p w14:paraId="7DB7580A" w14:textId="77777777" w:rsidR="00BE05C6" w:rsidRDefault="00BE05C6">
      <w:pPr>
        <w:spacing w:after="0" w:line="360" w:lineRule="auto"/>
        <w:jc w:val="both"/>
        <w:rPr>
          <w:rFonts w:ascii="Times New Roman" w:hAnsi="Times New Roman" w:cs="Times New Roman"/>
          <w:sz w:val="24"/>
          <w:szCs w:val="24"/>
        </w:rPr>
      </w:pPr>
    </w:p>
    <w:p w14:paraId="7DB7580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GOSPODARENJE KOMUNALNIM OTPADOM</w:t>
      </w:r>
    </w:p>
    <w:p w14:paraId="7DB7580C" w14:textId="77777777" w:rsidR="00BE05C6" w:rsidRDefault="00BE05C6">
      <w:pPr>
        <w:spacing w:after="0" w:line="360" w:lineRule="auto"/>
        <w:jc w:val="both"/>
        <w:rPr>
          <w:rFonts w:ascii="Times New Roman" w:hAnsi="Times New Roman" w:cs="Times New Roman"/>
          <w:sz w:val="24"/>
          <w:szCs w:val="24"/>
        </w:rPr>
      </w:pPr>
    </w:p>
    <w:p w14:paraId="7DB7580D"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Sakupljanje i odvoz miješanog komunalnog otpada, reciklabilnog otpada i glomaznog otpada od korisnika javne usluge obavlja se na području čitave Općine Promina. Sva naselja i kućanstva koja im pripadaju imaju mogućnost propisnog odlaganja otpada. Prikupljanje otpada se, po naseljima, vrši prema unaprijed određenom rasporedu.</w:t>
      </w:r>
    </w:p>
    <w:p w14:paraId="7DB7580E"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Prikupljanje komunalnog otpada od pojedinih pravnih osoba se vrši putem Izjave o načinu korištenja javne usluge prikupljanja komunalnog otpada kojom je definiran zaduženi volumen spremnika, a vrši se, također, prema unaprijed određenom rasporedu.</w:t>
      </w:r>
    </w:p>
    <w:p w14:paraId="7DB7580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prikupljanjem je obuhvaćeno 842 korisnika od čega je 813 korisnika kućanstvo i 23 korisnika koji nisu kućanstvo. Broj stanovnika Općine Promina je 943. Za prikupljanje i odvoz miješanog komunalnog otpada i odvojeno prikupljenog reciklabilnog otpada društvo EKO Promina d.o.o. raspolaže s jednim teretnim vozilom marke MAN, registracijske oznake ŠI 440 FT, za prijevoz tereta najveće dopuštene mase do 3530 kg, s FARID komunalnom nadogradnjom za prikupljanje otpada zapremnine 10 m</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7DB75810" w14:textId="77777777" w:rsidR="00BE05C6" w:rsidRDefault="00BE05C6">
      <w:pPr>
        <w:spacing w:after="0" w:line="360" w:lineRule="auto"/>
        <w:jc w:val="both"/>
        <w:rPr>
          <w:rFonts w:ascii="Times New Roman" w:hAnsi="Times New Roman" w:cs="Times New Roman"/>
          <w:sz w:val="24"/>
          <w:szCs w:val="24"/>
        </w:rPr>
      </w:pPr>
    </w:p>
    <w:p w14:paraId="7DB7581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SAKUPLJANJE KOMUNALNOG OTPADA</w:t>
      </w:r>
    </w:p>
    <w:p w14:paraId="7DB75812" w14:textId="77777777" w:rsidR="00BE05C6" w:rsidRDefault="00BE05C6">
      <w:pPr>
        <w:spacing w:after="0" w:line="360" w:lineRule="auto"/>
        <w:jc w:val="both"/>
        <w:rPr>
          <w:rFonts w:ascii="Times New Roman" w:hAnsi="Times New Roman" w:cs="Times New Roman"/>
          <w:sz w:val="24"/>
          <w:szCs w:val="24"/>
        </w:rPr>
      </w:pPr>
    </w:p>
    <w:p w14:paraId="7DB7581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sakupljanje miješanog komunalnog otpada korisnicima je podijeljeno 871 zelenih spremnika volumena 120 litara odnosno 18 zelenih spremnika volumena 1100 litara. Miješani komunalni otpad se prikuplja jedanput tjedno u svakom od 11 naselja Općine Promina.</w:t>
      </w:r>
    </w:p>
    <w:p w14:paraId="7DB75814" w14:textId="77777777" w:rsidR="00BE05C6" w:rsidRDefault="00BE05C6">
      <w:pPr>
        <w:spacing w:after="0" w:line="360" w:lineRule="auto"/>
        <w:jc w:val="both"/>
        <w:rPr>
          <w:rFonts w:ascii="Times New Roman" w:hAnsi="Times New Roman" w:cs="Times New Roman"/>
          <w:sz w:val="24"/>
          <w:szCs w:val="24"/>
        </w:rPr>
      </w:pPr>
    </w:p>
    <w:p w14:paraId="7DB7581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SAKUPLJANJE KOMUNALNOG OTPADA</w:t>
      </w:r>
    </w:p>
    <w:p w14:paraId="7DB75816" w14:textId="77777777" w:rsidR="00BE05C6" w:rsidRDefault="00BE05C6">
      <w:pPr>
        <w:spacing w:after="0" w:line="360" w:lineRule="auto"/>
        <w:jc w:val="both"/>
        <w:rPr>
          <w:rFonts w:ascii="Times New Roman" w:hAnsi="Times New Roman" w:cs="Times New Roman"/>
          <w:sz w:val="24"/>
          <w:szCs w:val="24"/>
        </w:rPr>
      </w:pPr>
    </w:p>
    <w:p w14:paraId="7DB75817"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 odvojeno sakupljanje plastične i metalne ambalaže korisnicima je podijeljeno 700 žutih spremnika volumena 120 litara te 610 plavih spremnika volumena 120 litara za odvojeno sakupljanje miješanog papira i kartona. Plastične i metalne ambalaža kao i miješani papir i karton se sakupljaju jedanput mjesečno u svakom od 11 naselja Općine Promina. Raspored odvoza </w:t>
      </w:r>
      <w:r>
        <w:rPr>
          <w:rFonts w:ascii="Times New Roman" w:hAnsi="Times New Roman" w:cs="Times New Roman"/>
          <w:sz w:val="24"/>
          <w:szCs w:val="24"/>
        </w:rPr>
        <w:lastRenderedPageBreak/>
        <w:t xml:space="preserve">odvojeno sakupljenog otpada s kućnog praga korisnika dan je u </w:t>
      </w:r>
      <w:bookmarkStart w:id="2" w:name="_Hlk129594467"/>
      <w:r>
        <w:rPr>
          <w:rFonts w:ascii="Times New Roman" w:hAnsi="Times New Roman" w:cs="Times New Roman"/>
          <w:sz w:val="24"/>
          <w:szCs w:val="24"/>
        </w:rPr>
        <w:t>Obavijesti o sakupljanju komunalnog otpada</w:t>
      </w:r>
      <w:bookmarkEnd w:id="2"/>
      <w:r>
        <w:rPr>
          <w:rFonts w:ascii="Times New Roman" w:hAnsi="Times New Roman" w:cs="Times New Roman"/>
          <w:sz w:val="24"/>
          <w:szCs w:val="24"/>
        </w:rPr>
        <w:t>, koja se korisniku dostavlja na kućnu adresu te se dodatno objavljuje na mrežnoj stranici društva. Informacija o lokacijama spremnika za odvojeno sakupljanje staklene ambalaže objavljuje se na mrežnoj stranici društva.</w:t>
      </w:r>
    </w:p>
    <w:p w14:paraId="7DB75818" w14:textId="77777777" w:rsidR="00BE05C6" w:rsidRDefault="00BE05C6">
      <w:pPr>
        <w:spacing w:after="0" w:line="360" w:lineRule="auto"/>
        <w:jc w:val="both"/>
        <w:rPr>
          <w:rFonts w:ascii="Times New Roman" w:hAnsi="Times New Roman" w:cs="Times New Roman"/>
          <w:sz w:val="24"/>
          <w:szCs w:val="24"/>
        </w:rPr>
      </w:pPr>
    </w:p>
    <w:p w14:paraId="7DB75819"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MOBILNO RECIKLAŽNO DVORIŠTE</w:t>
      </w:r>
    </w:p>
    <w:p w14:paraId="7DB7581A" w14:textId="77777777" w:rsidR="00BE05C6" w:rsidRDefault="00BE05C6">
      <w:pPr>
        <w:spacing w:after="0" w:line="360" w:lineRule="auto"/>
        <w:jc w:val="both"/>
        <w:rPr>
          <w:rFonts w:ascii="Times New Roman" w:hAnsi="Times New Roman" w:cs="Times New Roman"/>
          <w:sz w:val="24"/>
          <w:szCs w:val="24"/>
        </w:rPr>
      </w:pPr>
    </w:p>
    <w:p w14:paraId="7DB7581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Davatelj usluge raspolaže s jednim mobilnim reciklažnim dvorištem za čiji rad je dana 14. srpnja 2021. godine donesen Pravilnik o načinu rada mobilnog reciklažnog dvorišta. Lokacije  mobilnog reciklažnog dvorišta navedene su u informaciji o lokacijama mobilnog reciklažnog dvorišta po naseljima koja je dostupna na mrežnoj stranici društva. Broj upisa u očevidnik reciklažnih dvorišta je REC-184-M-1. </w:t>
      </w:r>
    </w:p>
    <w:p w14:paraId="7DB7581C" w14:textId="77777777" w:rsidR="00BE05C6" w:rsidRDefault="00BE05C6">
      <w:pPr>
        <w:spacing w:after="0" w:line="360" w:lineRule="auto"/>
        <w:jc w:val="both"/>
        <w:rPr>
          <w:rFonts w:ascii="Times New Roman" w:hAnsi="Times New Roman" w:cs="Times New Roman"/>
          <w:sz w:val="24"/>
          <w:szCs w:val="24"/>
        </w:rPr>
      </w:pPr>
    </w:p>
    <w:p w14:paraId="7DB7581D"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SPREMNICI NA JAVNIM POVRŠINAMA</w:t>
      </w:r>
    </w:p>
    <w:p w14:paraId="7DB7581E" w14:textId="77777777" w:rsidR="00BE05C6" w:rsidRDefault="00BE05C6">
      <w:pPr>
        <w:spacing w:after="0" w:line="360" w:lineRule="auto"/>
        <w:jc w:val="both"/>
        <w:rPr>
          <w:rFonts w:ascii="Times New Roman" w:hAnsi="Times New Roman" w:cs="Times New Roman"/>
          <w:sz w:val="24"/>
          <w:szCs w:val="24"/>
        </w:rPr>
      </w:pPr>
    </w:p>
    <w:p w14:paraId="7DB7581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svakom od 11 naselja Općine Promina postavljen je po jedan zeleni spremnik volumena 2,5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za prikupljanje stakla. Informacija o lokacijama spremnika za odvojeno sakupljanje komunalnog otpada (stakla) postavljenih na javnoj površini dostupna je na internetskoj stranici davatelja usluge.   </w:t>
      </w:r>
    </w:p>
    <w:p w14:paraId="7DB75820" w14:textId="77777777" w:rsidR="00BE05C6" w:rsidRDefault="00BE05C6">
      <w:pPr>
        <w:spacing w:after="0" w:line="360" w:lineRule="auto"/>
        <w:jc w:val="both"/>
        <w:rPr>
          <w:rFonts w:ascii="Times New Roman" w:hAnsi="Times New Roman" w:cs="Times New Roman"/>
          <w:sz w:val="24"/>
          <w:szCs w:val="24"/>
        </w:rPr>
      </w:pPr>
    </w:p>
    <w:p w14:paraId="7DB7582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SAKUPLJANJE U SUSTAVU „OD VRATA DO VRATA“</w:t>
      </w:r>
    </w:p>
    <w:p w14:paraId="7DB75822" w14:textId="77777777" w:rsidR="00BE05C6" w:rsidRDefault="00BE05C6">
      <w:pPr>
        <w:spacing w:after="0" w:line="360" w:lineRule="auto"/>
        <w:jc w:val="both"/>
        <w:rPr>
          <w:rFonts w:ascii="Times New Roman" w:hAnsi="Times New Roman" w:cs="Times New Roman"/>
          <w:sz w:val="24"/>
          <w:szCs w:val="24"/>
        </w:rPr>
      </w:pPr>
    </w:p>
    <w:p w14:paraId="7DB7582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 1. srpnja 2021. godine uveden je sustav prikupljanja otpada „od vrata do vrata“ te se time prešlo na sustav prikupljanja otpadne plastične ambalaže, metalne ambalaže, miješanog papira i kartona na kućnom pragu. U tu svrhu je korisnicima podijeljeno 700 žutih spremnika volumena 120 litara te 610 plavih spremnika volumena 120 litara.</w:t>
      </w:r>
    </w:p>
    <w:p w14:paraId="7DB75824" w14:textId="77777777" w:rsidR="00BE05C6" w:rsidRDefault="00BE05C6">
      <w:pPr>
        <w:spacing w:after="0" w:line="360" w:lineRule="auto"/>
        <w:jc w:val="both"/>
        <w:rPr>
          <w:rFonts w:ascii="Times New Roman" w:hAnsi="Times New Roman" w:cs="Times New Roman"/>
          <w:sz w:val="24"/>
          <w:szCs w:val="24"/>
        </w:rPr>
      </w:pPr>
    </w:p>
    <w:p w14:paraId="7DB7582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KOMPOSTIRANJE BIORAZGRADIVOG OTPADA</w:t>
      </w:r>
    </w:p>
    <w:p w14:paraId="7DB75826" w14:textId="77777777" w:rsidR="00BE05C6" w:rsidRDefault="00BE05C6">
      <w:pPr>
        <w:spacing w:after="0" w:line="360" w:lineRule="auto"/>
        <w:jc w:val="both"/>
        <w:rPr>
          <w:rFonts w:ascii="Times New Roman" w:hAnsi="Times New Roman" w:cs="Times New Roman"/>
          <w:sz w:val="24"/>
          <w:szCs w:val="24"/>
        </w:rPr>
      </w:pPr>
    </w:p>
    <w:p w14:paraId="7DB75827"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svrhu izdvajanja biorazgradivog otpada iz miješanog komunalnog otpada Općina Promina je početkom 2022. godine, uz su financiju Fonda za zaštitu okoliša i energetsku učinkovitost kupila, kompostera 400 te ih dala ovom društvu, kao davatelju javne usluge, na raspolaganje. Slijedom toga, ovo društvo je u 2022. godini objavilo poziv korisnicima da dođu zadužiti svoj komposter te na račun izdvajanja biorazgradivog otpada iz miješanog komunalnog otpada ostvare umanjenje mjesečne cijenu javne usluge za 0,66 eura. Pozivu se odazvalo svega 89 korisnika.</w:t>
      </w:r>
    </w:p>
    <w:p w14:paraId="7DB7582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TROŠAK ZBRINJAVANJA KOMUNALNOG OTPADA</w:t>
      </w:r>
    </w:p>
    <w:p w14:paraId="7DB75829" w14:textId="77777777" w:rsidR="00BE05C6" w:rsidRDefault="00BE05C6">
      <w:pPr>
        <w:spacing w:after="0" w:line="360" w:lineRule="auto"/>
        <w:jc w:val="both"/>
        <w:rPr>
          <w:rFonts w:ascii="Times New Roman" w:hAnsi="Times New Roman" w:cs="Times New Roman"/>
          <w:sz w:val="24"/>
          <w:szCs w:val="24"/>
        </w:rPr>
      </w:pPr>
    </w:p>
    <w:p w14:paraId="7DB7582A" w14:textId="77777777" w:rsidR="00BE05C6" w:rsidRDefault="00000000">
      <w:pPr>
        <w:spacing w:after="0" w:line="360" w:lineRule="auto"/>
        <w:jc w:val="both"/>
        <w:rPr>
          <w:rFonts w:ascii="Times New Roman" w:hAnsi="Times New Roman" w:cs="Times New Roman"/>
          <w:sz w:val="24"/>
          <w:szCs w:val="24"/>
        </w:rPr>
      </w:pPr>
      <w:bookmarkStart w:id="3" w:name="_Hlk100511384"/>
      <w:r>
        <w:rPr>
          <w:rFonts w:ascii="Times New Roman" w:hAnsi="Times New Roman" w:cs="Times New Roman"/>
          <w:sz w:val="24"/>
          <w:szCs w:val="24"/>
        </w:rPr>
        <w:t xml:space="preserve">Trošak zbrinjavanja miješanog komunalnog otpada na odlagalištu Mala Promina prikazan je u tablici 1. Trošak zbrinjavanja glomaznog otpada u </w:t>
      </w:r>
      <w:bookmarkEnd w:id="3"/>
      <w:r>
        <w:rPr>
          <w:rFonts w:ascii="Times New Roman" w:hAnsi="Times New Roman" w:cs="Times New Roman"/>
          <w:sz w:val="24"/>
          <w:szCs w:val="24"/>
        </w:rPr>
        <w:t>centru za gospodarenje otpadom Bikarac d.o.o. prikazan je u tablici 2. U tablici 3. je prikazan trošak zbrinjavanja plastične i staklene ambalaže u tvrtki Jolly EKO d.o.o. U tablici 4. je prikazan trošak zbrinjavanja otpada prikupljenog u mobilnom reciklažnom dvorištu u tvrtki Cian d.o.o.</w:t>
      </w:r>
    </w:p>
    <w:p w14:paraId="7DB7582B" w14:textId="77777777" w:rsidR="00BE05C6" w:rsidRDefault="00BE05C6">
      <w:pPr>
        <w:spacing w:after="0" w:line="360" w:lineRule="auto"/>
        <w:jc w:val="both"/>
        <w:rPr>
          <w:rFonts w:ascii="Times New Roman" w:hAnsi="Times New Roman" w:cs="Times New Roman"/>
          <w:sz w:val="24"/>
          <w:szCs w:val="24"/>
        </w:rPr>
      </w:pPr>
    </w:p>
    <w:p w14:paraId="7DB7582C"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1. Trošak zbrinjavanja miješanog komunalnog otpada na odlagalištu Mala Promina</w:t>
      </w:r>
    </w:p>
    <w:tbl>
      <w:tblPr>
        <w:tblStyle w:val="Reetkatablice"/>
        <w:tblpPr w:leftFromText="180" w:rightFromText="180" w:vertAnchor="text" w:tblpXSpec="center" w:tblpY="1"/>
        <w:tblOverlap w:val="never"/>
        <w:tblW w:w="0" w:type="auto"/>
        <w:tblLook w:val="04A0" w:firstRow="1" w:lastRow="0" w:firstColumn="1" w:lastColumn="0" w:noHBand="0" w:noVBand="1"/>
      </w:tblPr>
      <w:tblGrid>
        <w:gridCol w:w="1769"/>
        <w:gridCol w:w="1591"/>
        <w:gridCol w:w="1590"/>
        <w:gridCol w:w="1590"/>
        <w:gridCol w:w="1402"/>
        <w:gridCol w:w="1402"/>
      </w:tblGrid>
      <w:tr w:rsidR="00BE05C6" w14:paraId="7DB75833" w14:textId="77777777">
        <w:tc>
          <w:tcPr>
            <w:tcW w:w="1969" w:type="dxa"/>
            <w:vAlign w:val="center"/>
          </w:tcPr>
          <w:p w14:paraId="7DB7582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Zbrinjavanje miješanog komunalnog otpada</w:t>
            </w:r>
          </w:p>
        </w:tc>
        <w:tc>
          <w:tcPr>
            <w:tcW w:w="1919" w:type="dxa"/>
            <w:vAlign w:val="center"/>
          </w:tcPr>
          <w:p w14:paraId="7DB7582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7DB7582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7DB7583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7DB7583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16" w:type="dxa"/>
            <w:vAlign w:val="center"/>
          </w:tcPr>
          <w:p w14:paraId="7DB7583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BE05C6" w14:paraId="7DB7583B" w14:textId="77777777">
        <w:tc>
          <w:tcPr>
            <w:tcW w:w="1969" w:type="dxa"/>
            <w:vAlign w:val="center"/>
          </w:tcPr>
          <w:p w14:paraId="7DB7583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Zbrinuto</w:t>
            </w:r>
          </w:p>
          <w:p w14:paraId="7DB7583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7DB7583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161,000</w:t>
            </w:r>
          </w:p>
        </w:tc>
        <w:tc>
          <w:tcPr>
            <w:tcW w:w="1920" w:type="dxa"/>
            <w:vAlign w:val="center"/>
          </w:tcPr>
          <w:p w14:paraId="7DB7583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276,488</w:t>
            </w:r>
          </w:p>
        </w:tc>
        <w:tc>
          <w:tcPr>
            <w:tcW w:w="1920" w:type="dxa"/>
            <w:vAlign w:val="center"/>
          </w:tcPr>
          <w:p w14:paraId="7DB7583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261,501</w:t>
            </w:r>
          </w:p>
        </w:tc>
        <w:tc>
          <w:tcPr>
            <w:tcW w:w="1616" w:type="dxa"/>
            <w:vAlign w:val="center"/>
          </w:tcPr>
          <w:p w14:paraId="7DB7583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243,180</w:t>
            </w:r>
          </w:p>
        </w:tc>
        <w:tc>
          <w:tcPr>
            <w:tcW w:w="1616" w:type="dxa"/>
            <w:vAlign w:val="center"/>
          </w:tcPr>
          <w:p w14:paraId="7DB7583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238,090</w:t>
            </w:r>
          </w:p>
        </w:tc>
      </w:tr>
      <w:tr w:rsidR="00BE05C6" w14:paraId="7DB75843" w14:textId="77777777">
        <w:tc>
          <w:tcPr>
            <w:tcW w:w="1969" w:type="dxa"/>
            <w:vAlign w:val="center"/>
          </w:tcPr>
          <w:p w14:paraId="7DB7583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zbrinjavanja bez PDV-a</w:t>
            </w:r>
          </w:p>
          <w:p w14:paraId="7DB7583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(eura)</w:t>
            </w:r>
          </w:p>
        </w:tc>
        <w:tc>
          <w:tcPr>
            <w:tcW w:w="1919" w:type="dxa"/>
            <w:vAlign w:val="center"/>
          </w:tcPr>
          <w:p w14:paraId="7DB7583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4.745,90</w:t>
            </w:r>
          </w:p>
        </w:tc>
        <w:tc>
          <w:tcPr>
            <w:tcW w:w="1920" w:type="dxa"/>
            <w:vAlign w:val="center"/>
          </w:tcPr>
          <w:p w14:paraId="7DB7583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6.787,04</w:t>
            </w:r>
          </w:p>
        </w:tc>
        <w:tc>
          <w:tcPr>
            <w:tcW w:w="1920" w:type="dxa"/>
            <w:vAlign w:val="center"/>
          </w:tcPr>
          <w:p w14:paraId="7DB7584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7.454,37</w:t>
            </w:r>
          </w:p>
        </w:tc>
        <w:tc>
          <w:tcPr>
            <w:tcW w:w="1616" w:type="dxa"/>
            <w:vAlign w:val="center"/>
          </w:tcPr>
          <w:p w14:paraId="7DB7584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8.068,88</w:t>
            </w:r>
          </w:p>
        </w:tc>
        <w:tc>
          <w:tcPr>
            <w:tcW w:w="1616" w:type="dxa"/>
            <w:vAlign w:val="center"/>
          </w:tcPr>
          <w:p w14:paraId="7DB7584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7.902,21</w:t>
            </w:r>
          </w:p>
        </w:tc>
      </w:tr>
    </w:tbl>
    <w:p w14:paraId="7DB75844" w14:textId="77777777" w:rsidR="00BE05C6" w:rsidRDefault="00BE05C6">
      <w:pPr>
        <w:spacing w:after="0" w:line="360" w:lineRule="auto"/>
        <w:jc w:val="both"/>
        <w:rPr>
          <w:rFonts w:ascii="Times New Roman" w:hAnsi="Times New Roman" w:cs="Times New Roman"/>
          <w:sz w:val="24"/>
          <w:szCs w:val="24"/>
        </w:rPr>
      </w:pPr>
    </w:p>
    <w:p w14:paraId="7DB75845"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2. Trošak zbrinjavanja glomaznog otpada u centru za gospodarenje otpadom Bikarac d.o.o.</w:t>
      </w:r>
    </w:p>
    <w:tbl>
      <w:tblPr>
        <w:tblStyle w:val="Reetkatablice"/>
        <w:tblpPr w:leftFromText="180" w:rightFromText="180" w:vertAnchor="text" w:tblpXSpec="center" w:tblpY="1"/>
        <w:tblOverlap w:val="never"/>
        <w:tblW w:w="0" w:type="auto"/>
        <w:tblLook w:val="04A0" w:firstRow="1" w:lastRow="0" w:firstColumn="1" w:lastColumn="0" w:noHBand="0" w:noVBand="1"/>
      </w:tblPr>
      <w:tblGrid>
        <w:gridCol w:w="1818"/>
        <w:gridCol w:w="1584"/>
        <w:gridCol w:w="1585"/>
        <w:gridCol w:w="1585"/>
        <w:gridCol w:w="1369"/>
        <w:gridCol w:w="1403"/>
      </w:tblGrid>
      <w:tr w:rsidR="00BE05C6" w14:paraId="7DB7584C" w14:textId="77777777">
        <w:tc>
          <w:tcPr>
            <w:tcW w:w="1969" w:type="dxa"/>
            <w:vAlign w:val="center"/>
          </w:tcPr>
          <w:p w14:paraId="7DB7584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Zbrinjavanje glomaznog otpada</w:t>
            </w:r>
          </w:p>
        </w:tc>
        <w:tc>
          <w:tcPr>
            <w:tcW w:w="1919" w:type="dxa"/>
            <w:vAlign w:val="center"/>
          </w:tcPr>
          <w:p w14:paraId="7DB7584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7DB7584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7DB7584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7DB7584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16" w:type="dxa"/>
            <w:vAlign w:val="center"/>
          </w:tcPr>
          <w:p w14:paraId="7DB7584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BE05C6" w14:paraId="7DB75854" w14:textId="77777777">
        <w:tc>
          <w:tcPr>
            <w:tcW w:w="1969" w:type="dxa"/>
            <w:vAlign w:val="center"/>
          </w:tcPr>
          <w:p w14:paraId="7DB7584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Zbrinuto</w:t>
            </w:r>
          </w:p>
          <w:p w14:paraId="7DB7584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7DB7584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5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5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5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5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3,79</w:t>
            </w:r>
          </w:p>
        </w:tc>
      </w:tr>
      <w:tr w:rsidR="00BE05C6" w14:paraId="7DB7585C" w14:textId="77777777">
        <w:tc>
          <w:tcPr>
            <w:tcW w:w="1969" w:type="dxa"/>
            <w:vAlign w:val="center"/>
          </w:tcPr>
          <w:p w14:paraId="7DB7585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zbrinjavanja bez PDV-a</w:t>
            </w:r>
          </w:p>
          <w:p w14:paraId="7DB7585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(eura)</w:t>
            </w:r>
          </w:p>
        </w:tc>
        <w:tc>
          <w:tcPr>
            <w:tcW w:w="1919" w:type="dxa"/>
            <w:vAlign w:val="center"/>
          </w:tcPr>
          <w:p w14:paraId="7DB7585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5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5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5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5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309,43</w:t>
            </w:r>
          </w:p>
        </w:tc>
      </w:tr>
    </w:tbl>
    <w:p w14:paraId="7DB7585D" w14:textId="77777777" w:rsidR="00BE05C6" w:rsidRDefault="00BE05C6">
      <w:pPr>
        <w:spacing w:after="0" w:line="360" w:lineRule="auto"/>
        <w:jc w:val="both"/>
        <w:rPr>
          <w:rFonts w:ascii="Times New Roman" w:hAnsi="Times New Roman" w:cs="Times New Roman"/>
          <w:sz w:val="24"/>
          <w:szCs w:val="24"/>
        </w:rPr>
      </w:pPr>
    </w:p>
    <w:p w14:paraId="7DB7585E" w14:textId="77777777" w:rsidR="00BE05C6" w:rsidRDefault="00BE05C6">
      <w:pPr>
        <w:spacing w:after="0" w:line="360" w:lineRule="auto"/>
        <w:jc w:val="both"/>
        <w:rPr>
          <w:rFonts w:ascii="Times New Roman" w:hAnsi="Times New Roman" w:cs="Times New Roman"/>
          <w:sz w:val="24"/>
          <w:szCs w:val="24"/>
        </w:rPr>
      </w:pPr>
    </w:p>
    <w:p w14:paraId="7DB7585F" w14:textId="77777777" w:rsidR="00BE05C6" w:rsidRDefault="00BE05C6">
      <w:pPr>
        <w:spacing w:after="0" w:line="360" w:lineRule="auto"/>
        <w:rPr>
          <w:rFonts w:ascii="Times New Roman" w:hAnsi="Times New Roman" w:cs="Times New Roman"/>
          <w:sz w:val="24"/>
          <w:szCs w:val="24"/>
        </w:rPr>
      </w:pPr>
    </w:p>
    <w:p w14:paraId="7DB75860"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Tablica 3. Trošak zbrinjavanja plastične i staklene ambalaže u tvrtki Jolly EKO d.o.o.</w:t>
      </w:r>
    </w:p>
    <w:tbl>
      <w:tblPr>
        <w:tblStyle w:val="Reetkatablice"/>
        <w:tblpPr w:leftFromText="180" w:rightFromText="180" w:vertAnchor="text" w:tblpXSpec="center" w:tblpY="1"/>
        <w:tblOverlap w:val="never"/>
        <w:tblW w:w="0" w:type="auto"/>
        <w:tblLook w:val="04A0" w:firstRow="1" w:lastRow="0" w:firstColumn="1" w:lastColumn="0" w:noHBand="0" w:noVBand="1"/>
      </w:tblPr>
      <w:tblGrid>
        <w:gridCol w:w="1803"/>
        <w:gridCol w:w="1553"/>
        <w:gridCol w:w="1554"/>
        <w:gridCol w:w="1554"/>
        <w:gridCol w:w="1440"/>
        <w:gridCol w:w="1440"/>
      </w:tblGrid>
      <w:tr w:rsidR="00BE05C6" w14:paraId="7DB75867" w14:textId="77777777">
        <w:tc>
          <w:tcPr>
            <w:tcW w:w="1969" w:type="dxa"/>
            <w:vAlign w:val="center"/>
          </w:tcPr>
          <w:p w14:paraId="7DB7586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Zbrinjavanje plastične i staklene ambalaže</w:t>
            </w:r>
          </w:p>
        </w:tc>
        <w:tc>
          <w:tcPr>
            <w:tcW w:w="1919" w:type="dxa"/>
            <w:vAlign w:val="center"/>
          </w:tcPr>
          <w:p w14:paraId="7DB7586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7DB7586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7DB7586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7DB7586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16" w:type="dxa"/>
            <w:vAlign w:val="center"/>
          </w:tcPr>
          <w:p w14:paraId="7DB7586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BE05C6" w14:paraId="7DB7586F" w14:textId="77777777">
        <w:tc>
          <w:tcPr>
            <w:tcW w:w="1969" w:type="dxa"/>
            <w:vAlign w:val="center"/>
          </w:tcPr>
          <w:p w14:paraId="7DB7586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Zbrinuto</w:t>
            </w:r>
          </w:p>
          <w:p w14:paraId="7DB7586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7DB7586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6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6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6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8,40</w:t>
            </w:r>
          </w:p>
        </w:tc>
        <w:tc>
          <w:tcPr>
            <w:tcW w:w="1616" w:type="dxa"/>
            <w:vAlign w:val="center"/>
          </w:tcPr>
          <w:p w14:paraId="7DB7586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10,17</w:t>
            </w:r>
          </w:p>
        </w:tc>
      </w:tr>
      <w:tr w:rsidR="00BE05C6" w14:paraId="7DB75877" w14:textId="77777777">
        <w:tc>
          <w:tcPr>
            <w:tcW w:w="1969" w:type="dxa"/>
            <w:vAlign w:val="center"/>
          </w:tcPr>
          <w:p w14:paraId="7DB7587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zbrinjavanja bez PDV-a</w:t>
            </w:r>
          </w:p>
          <w:p w14:paraId="7DB7587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(eura)</w:t>
            </w:r>
          </w:p>
        </w:tc>
        <w:tc>
          <w:tcPr>
            <w:tcW w:w="1919" w:type="dxa"/>
            <w:vAlign w:val="center"/>
          </w:tcPr>
          <w:p w14:paraId="7DB7587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7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7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7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1.079,03</w:t>
            </w:r>
          </w:p>
        </w:tc>
        <w:tc>
          <w:tcPr>
            <w:tcW w:w="1616" w:type="dxa"/>
            <w:vAlign w:val="center"/>
          </w:tcPr>
          <w:p w14:paraId="7DB7587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1.321,43</w:t>
            </w:r>
          </w:p>
        </w:tc>
      </w:tr>
    </w:tbl>
    <w:p w14:paraId="7DB75878" w14:textId="77777777" w:rsidR="00BE05C6" w:rsidRDefault="00BE05C6">
      <w:pPr>
        <w:spacing w:after="0" w:line="360" w:lineRule="auto"/>
        <w:rPr>
          <w:rFonts w:ascii="Times New Roman" w:hAnsi="Times New Roman" w:cs="Times New Roman"/>
          <w:i/>
          <w:iCs/>
          <w:sz w:val="24"/>
          <w:szCs w:val="24"/>
        </w:rPr>
      </w:pPr>
    </w:p>
    <w:p w14:paraId="7DB75879"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4. Trošak zbrinjavanja ostalog otpada u tvrtki Cian d.o.o.</w:t>
      </w:r>
    </w:p>
    <w:tbl>
      <w:tblPr>
        <w:tblStyle w:val="Reetkatablice"/>
        <w:tblW w:w="0" w:type="auto"/>
        <w:jc w:val="center"/>
        <w:tblLook w:val="04A0" w:firstRow="1" w:lastRow="0" w:firstColumn="1" w:lastColumn="0" w:noHBand="0" w:noVBand="1"/>
      </w:tblPr>
      <w:tblGrid>
        <w:gridCol w:w="1815"/>
        <w:gridCol w:w="1577"/>
        <w:gridCol w:w="1578"/>
        <w:gridCol w:w="1578"/>
        <w:gridCol w:w="1398"/>
        <w:gridCol w:w="1398"/>
      </w:tblGrid>
      <w:tr w:rsidR="00BE05C6" w14:paraId="7DB75880" w14:textId="77777777">
        <w:trPr>
          <w:jc w:val="center"/>
        </w:trPr>
        <w:tc>
          <w:tcPr>
            <w:tcW w:w="1969" w:type="dxa"/>
            <w:vAlign w:val="center"/>
          </w:tcPr>
          <w:p w14:paraId="7DB7587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Zbrinjavanje ostalog otpada</w:t>
            </w:r>
          </w:p>
        </w:tc>
        <w:tc>
          <w:tcPr>
            <w:tcW w:w="1919" w:type="dxa"/>
            <w:vAlign w:val="center"/>
          </w:tcPr>
          <w:p w14:paraId="7DB7587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920" w:type="dxa"/>
            <w:vAlign w:val="center"/>
          </w:tcPr>
          <w:p w14:paraId="7DB7587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1920" w:type="dxa"/>
            <w:vAlign w:val="center"/>
          </w:tcPr>
          <w:p w14:paraId="7DB7587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616" w:type="dxa"/>
            <w:vAlign w:val="center"/>
          </w:tcPr>
          <w:p w14:paraId="7DB7587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616" w:type="dxa"/>
            <w:vAlign w:val="center"/>
          </w:tcPr>
          <w:p w14:paraId="7DB7587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BE05C6" w14:paraId="7DB75888" w14:textId="77777777">
        <w:trPr>
          <w:jc w:val="center"/>
        </w:trPr>
        <w:tc>
          <w:tcPr>
            <w:tcW w:w="1969" w:type="dxa"/>
            <w:vAlign w:val="center"/>
          </w:tcPr>
          <w:p w14:paraId="7DB7588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Zbrinuto</w:t>
            </w:r>
          </w:p>
          <w:p w14:paraId="7DB7588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(tona) </w:t>
            </w:r>
          </w:p>
        </w:tc>
        <w:tc>
          <w:tcPr>
            <w:tcW w:w="1919" w:type="dxa"/>
            <w:vAlign w:val="center"/>
          </w:tcPr>
          <w:p w14:paraId="7DB7588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8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8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8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0,497</w:t>
            </w:r>
          </w:p>
        </w:tc>
        <w:tc>
          <w:tcPr>
            <w:tcW w:w="1616" w:type="dxa"/>
            <w:vAlign w:val="center"/>
          </w:tcPr>
          <w:p w14:paraId="7DB7588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0,349</w:t>
            </w:r>
          </w:p>
        </w:tc>
      </w:tr>
      <w:tr w:rsidR="00BE05C6" w14:paraId="7DB75890" w14:textId="77777777">
        <w:trPr>
          <w:jc w:val="center"/>
        </w:trPr>
        <w:tc>
          <w:tcPr>
            <w:tcW w:w="1969" w:type="dxa"/>
            <w:vAlign w:val="center"/>
          </w:tcPr>
          <w:p w14:paraId="7DB7588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Trošak zbrinjavanja bez PDV-a</w:t>
            </w:r>
          </w:p>
          <w:p w14:paraId="7DB7588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(eura)</w:t>
            </w:r>
          </w:p>
        </w:tc>
        <w:tc>
          <w:tcPr>
            <w:tcW w:w="1919" w:type="dxa"/>
            <w:vAlign w:val="center"/>
          </w:tcPr>
          <w:p w14:paraId="7DB7588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8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920" w:type="dxa"/>
            <w:vAlign w:val="center"/>
          </w:tcPr>
          <w:p w14:paraId="7DB7588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616" w:type="dxa"/>
            <w:vAlign w:val="center"/>
          </w:tcPr>
          <w:p w14:paraId="7DB7588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348,13</w:t>
            </w:r>
          </w:p>
        </w:tc>
        <w:tc>
          <w:tcPr>
            <w:tcW w:w="1616" w:type="dxa"/>
            <w:vAlign w:val="center"/>
          </w:tcPr>
          <w:p w14:paraId="7DB7588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204,98</w:t>
            </w:r>
          </w:p>
        </w:tc>
      </w:tr>
    </w:tbl>
    <w:p w14:paraId="7DB75891" w14:textId="77777777" w:rsidR="00BE05C6" w:rsidRDefault="00BE05C6">
      <w:pPr>
        <w:spacing w:after="0" w:line="360" w:lineRule="auto"/>
        <w:jc w:val="both"/>
        <w:rPr>
          <w:rFonts w:ascii="Times New Roman" w:hAnsi="Times New Roman" w:cs="Times New Roman"/>
          <w:sz w:val="24"/>
          <w:szCs w:val="24"/>
        </w:rPr>
      </w:pPr>
    </w:p>
    <w:p w14:paraId="7DB7589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KOLIČINE SAKUPLJENOG KOMUNALNOG OTPADA</w:t>
      </w:r>
    </w:p>
    <w:p w14:paraId="7DB75893" w14:textId="77777777" w:rsidR="00BE05C6" w:rsidRDefault="00BE05C6">
      <w:pPr>
        <w:spacing w:after="0" w:line="360" w:lineRule="auto"/>
        <w:jc w:val="both"/>
        <w:rPr>
          <w:rFonts w:ascii="Times New Roman" w:hAnsi="Times New Roman" w:cs="Times New Roman"/>
          <w:sz w:val="24"/>
          <w:szCs w:val="24"/>
        </w:rPr>
      </w:pPr>
    </w:p>
    <w:p w14:paraId="7DB75894"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MIJEŠANI KOMUNALNI OTPAD</w:t>
      </w:r>
    </w:p>
    <w:p w14:paraId="7DB75895" w14:textId="77777777" w:rsidR="00BE05C6" w:rsidRDefault="00BE05C6">
      <w:pPr>
        <w:spacing w:after="0" w:line="360" w:lineRule="auto"/>
        <w:jc w:val="both"/>
        <w:rPr>
          <w:rFonts w:ascii="Times New Roman" w:hAnsi="Times New Roman" w:cs="Times New Roman"/>
          <w:sz w:val="24"/>
          <w:szCs w:val="24"/>
        </w:rPr>
      </w:pPr>
    </w:p>
    <w:p w14:paraId="7DB7589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Miješani komunalni otpad je otpad iz kućanstva i otpad iz drugih izvora koji je po svojstvima i sastavu sličan otpadu iz kućanstva, te je u Katalogu otpada označen kao 20 03 01. Budući da se tek od 1. srpnja 2021. godine počeo provoditi sustav „od vrata do vrata“ i da se tek od tada počelo s prikupljanjem reciklabilnog otpada (plastike, metala, miješanog papira i kartona i stakla) u 2022. godini je zabilježen lagani pad prikupljenih mase miješanog komunalnog otpada u odnosu na 2021. godinu, u kojoj nije bio zabilježen značajniji pad prikupljenih količina miješanog komunalnog otpada u odnosu na prethodne godine. Također, lagani pad prikupljenih količina miješanog </w:t>
      </w:r>
      <w:r>
        <w:rPr>
          <w:rFonts w:ascii="Times New Roman" w:hAnsi="Times New Roman" w:cs="Times New Roman"/>
          <w:sz w:val="24"/>
          <w:szCs w:val="24"/>
        </w:rPr>
        <w:lastRenderedPageBreak/>
        <w:t>komunalnog otpada, u odnosu na 2022. godinu, zabilježen je u 2023. godini. Sav prikupljeni miješani komunalni otpad zbrinjava se na odlagalištu Mala Promina.</w:t>
      </w:r>
    </w:p>
    <w:p w14:paraId="7DB75897" w14:textId="77777777" w:rsidR="00BE05C6" w:rsidRDefault="00BE05C6">
      <w:pPr>
        <w:spacing w:after="0" w:line="360" w:lineRule="auto"/>
        <w:jc w:val="both"/>
        <w:rPr>
          <w:rFonts w:ascii="Times New Roman" w:hAnsi="Times New Roman" w:cs="Times New Roman"/>
          <w:sz w:val="24"/>
          <w:szCs w:val="24"/>
        </w:rPr>
      </w:pPr>
    </w:p>
    <w:p w14:paraId="7DB7589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ODVOJENO SAKUPLJENI KOMUNALNI OTPAD</w:t>
      </w:r>
    </w:p>
    <w:p w14:paraId="7DB75899" w14:textId="77777777" w:rsidR="00BE05C6" w:rsidRDefault="00BE05C6">
      <w:pPr>
        <w:spacing w:after="0" w:line="360" w:lineRule="auto"/>
        <w:jc w:val="both"/>
        <w:rPr>
          <w:rFonts w:ascii="Times New Roman" w:hAnsi="Times New Roman" w:cs="Times New Roman"/>
          <w:sz w:val="24"/>
          <w:szCs w:val="24"/>
        </w:rPr>
      </w:pPr>
    </w:p>
    <w:p w14:paraId="7DB7589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Planom gospodarenja otpadom Općine Promina za razdoblje od 2018. godine do 2023. godine predviđeno je postupno dostizanje postavljenih ciljeva u gospodarenju otpadom, uz pretpostavku da su osigurani preduvjeti. U razdoblju prije 2018. godine uložilo se, uz pomoć Fonda za zaštitu okoliša i energetsku učinkovitost, u nabavku 11 spremnika volumena 2,5 m</w:t>
      </w:r>
      <w:r>
        <w:rPr>
          <w:rFonts w:ascii="Times New Roman" w:hAnsi="Times New Roman" w:cs="Times New Roman"/>
          <w:sz w:val="24"/>
          <w:szCs w:val="24"/>
          <w:vertAlign w:val="superscript"/>
        </w:rPr>
        <w:t>3</w:t>
      </w:r>
      <w:r>
        <w:rPr>
          <w:rFonts w:ascii="Times New Roman" w:hAnsi="Times New Roman" w:cs="Times New Roman"/>
          <w:sz w:val="24"/>
          <w:szCs w:val="24"/>
        </w:rPr>
        <w:t>, za prihvat odvojeno sakupljenog stakla. U razdoblju od 2018. godine do trenutka pisanja ovog izvještaja nije se značajno ulagalo u infrastrukturu koja bi predstavljala preduvjete za dostizanje ciljeva u gospodarenju otpadom. U 2020. godini uložilo se, uz 80 % sufinanciranje Fonda za zaštitu okoliša i energetsku učinkovitost, u nabavku žutih spremnika volumena 120 litara i plavih spremnika volumena 120 litara te zelenih spremnika volumena 2,5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koji su osigurali preduvjete za odvojeno sakupljanje plastike, metala, miješanog papira i kartona te stakla na mjestu njihovog nastanka, odnosno kod korisnika. Žuti i plavi spremnici su korisnicima podijeljeni u svibnju i lipnju 2021. godine te se korisnicima dala uputa o potrebi odvojenog sakupljanja komunalnog otpada. U 2022. godini uložilo se, također, uz 80 % sufinanciranje Fonda za zaštitu okoliša i energetsku učinkovitost, u nabavku dodatnih plavih spremnika volumena 120 litara. Žuti i plavi spremnici su podijeljeni korisnicima za odvojeno prikupljanje reciklabilnog otpada na kućnom pragu, dok su zeleni spremnici postavljeni u naselja na javnoj površini.</w:t>
      </w:r>
    </w:p>
    <w:p w14:paraId="7DB7589B" w14:textId="77777777" w:rsidR="00BE05C6" w:rsidRDefault="00BE05C6">
      <w:pPr>
        <w:spacing w:after="0" w:line="360" w:lineRule="auto"/>
        <w:jc w:val="both"/>
        <w:rPr>
          <w:rFonts w:ascii="Times New Roman" w:hAnsi="Times New Roman" w:cs="Times New Roman"/>
          <w:sz w:val="24"/>
          <w:szCs w:val="24"/>
        </w:rPr>
      </w:pPr>
    </w:p>
    <w:p w14:paraId="7DB7589C"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odvojeno sakupljenog otpada u 2023. godini prikazana je u tablici 5.</w:t>
      </w:r>
    </w:p>
    <w:p w14:paraId="7DB7589D" w14:textId="77777777" w:rsidR="00BE05C6" w:rsidRDefault="00BE05C6">
      <w:pPr>
        <w:spacing w:after="0" w:line="360" w:lineRule="auto"/>
        <w:rPr>
          <w:rFonts w:ascii="Times New Roman" w:hAnsi="Times New Roman" w:cs="Times New Roman"/>
          <w:sz w:val="24"/>
          <w:szCs w:val="24"/>
        </w:rPr>
      </w:pPr>
    </w:p>
    <w:p w14:paraId="7DB7589E" w14:textId="77777777" w:rsidR="00BE05C6" w:rsidRDefault="00BE05C6">
      <w:pPr>
        <w:spacing w:after="0" w:line="360" w:lineRule="auto"/>
        <w:rPr>
          <w:rFonts w:ascii="Times New Roman" w:hAnsi="Times New Roman" w:cs="Times New Roman"/>
          <w:sz w:val="24"/>
          <w:szCs w:val="24"/>
        </w:rPr>
      </w:pPr>
    </w:p>
    <w:p w14:paraId="7DB7589F" w14:textId="77777777" w:rsidR="00BE05C6" w:rsidRDefault="00BE05C6">
      <w:pPr>
        <w:spacing w:after="0" w:line="360" w:lineRule="auto"/>
        <w:rPr>
          <w:rFonts w:ascii="Times New Roman" w:hAnsi="Times New Roman" w:cs="Times New Roman"/>
          <w:sz w:val="24"/>
          <w:szCs w:val="24"/>
        </w:rPr>
      </w:pPr>
    </w:p>
    <w:p w14:paraId="7DB758A0" w14:textId="77777777" w:rsidR="00BE05C6" w:rsidRDefault="00BE05C6">
      <w:pPr>
        <w:spacing w:after="0" w:line="360" w:lineRule="auto"/>
        <w:rPr>
          <w:rFonts w:ascii="Times New Roman" w:hAnsi="Times New Roman" w:cs="Times New Roman"/>
          <w:sz w:val="24"/>
          <w:szCs w:val="24"/>
        </w:rPr>
      </w:pPr>
    </w:p>
    <w:p w14:paraId="7DB758A1" w14:textId="77777777" w:rsidR="00BE05C6" w:rsidRDefault="00BE05C6">
      <w:pPr>
        <w:spacing w:after="0" w:line="360" w:lineRule="auto"/>
        <w:rPr>
          <w:rFonts w:ascii="Times New Roman" w:hAnsi="Times New Roman" w:cs="Times New Roman"/>
          <w:sz w:val="24"/>
          <w:szCs w:val="24"/>
        </w:rPr>
      </w:pPr>
    </w:p>
    <w:p w14:paraId="7DB758A2" w14:textId="77777777" w:rsidR="00BE05C6" w:rsidRDefault="00BE05C6">
      <w:pPr>
        <w:spacing w:after="0" w:line="360" w:lineRule="auto"/>
        <w:rPr>
          <w:rFonts w:ascii="Times New Roman" w:hAnsi="Times New Roman" w:cs="Times New Roman"/>
          <w:sz w:val="24"/>
          <w:szCs w:val="24"/>
        </w:rPr>
      </w:pPr>
    </w:p>
    <w:p w14:paraId="7DB758A3" w14:textId="77777777" w:rsidR="00BE05C6" w:rsidRDefault="00BE05C6">
      <w:pPr>
        <w:spacing w:after="0" w:line="360" w:lineRule="auto"/>
        <w:rPr>
          <w:rFonts w:ascii="Times New Roman" w:hAnsi="Times New Roman" w:cs="Times New Roman"/>
          <w:sz w:val="24"/>
          <w:szCs w:val="24"/>
        </w:rPr>
      </w:pPr>
    </w:p>
    <w:p w14:paraId="7DB758A4" w14:textId="77777777" w:rsidR="00BE05C6" w:rsidRDefault="00BE05C6">
      <w:pPr>
        <w:spacing w:after="0" w:line="360" w:lineRule="auto"/>
        <w:rPr>
          <w:rFonts w:ascii="Times New Roman" w:hAnsi="Times New Roman" w:cs="Times New Roman"/>
          <w:sz w:val="24"/>
          <w:szCs w:val="24"/>
        </w:rPr>
      </w:pPr>
    </w:p>
    <w:p w14:paraId="7DB758A5" w14:textId="77777777" w:rsidR="00BE05C6" w:rsidRDefault="00BE05C6">
      <w:pPr>
        <w:spacing w:after="0" w:line="360" w:lineRule="auto"/>
        <w:rPr>
          <w:rFonts w:ascii="Times New Roman" w:hAnsi="Times New Roman" w:cs="Times New Roman"/>
          <w:sz w:val="24"/>
          <w:szCs w:val="24"/>
        </w:rPr>
      </w:pPr>
    </w:p>
    <w:p w14:paraId="7DB758A6" w14:textId="77777777" w:rsidR="00BE05C6" w:rsidRDefault="00BE05C6">
      <w:pPr>
        <w:spacing w:after="0" w:line="360" w:lineRule="auto"/>
        <w:rPr>
          <w:rFonts w:ascii="Times New Roman" w:hAnsi="Times New Roman" w:cs="Times New Roman"/>
          <w:sz w:val="24"/>
          <w:szCs w:val="24"/>
        </w:rPr>
      </w:pPr>
    </w:p>
    <w:p w14:paraId="7DB758A7" w14:textId="77777777" w:rsidR="00BE05C6" w:rsidRDefault="00BE05C6">
      <w:pPr>
        <w:spacing w:after="0" w:line="360" w:lineRule="auto"/>
        <w:jc w:val="center"/>
        <w:rPr>
          <w:rFonts w:ascii="Times New Roman" w:hAnsi="Times New Roman" w:cs="Times New Roman"/>
          <w:sz w:val="24"/>
          <w:szCs w:val="24"/>
        </w:rPr>
      </w:pPr>
    </w:p>
    <w:p w14:paraId="7DB758A8"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Tablica 5. Stopa odvojeno sakupljenog otpada u 2023. godini</w:t>
      </w:r>
    </w:p>
    <w:tbl>
      <w:tblPr>
        <w:tblStyle w:val="Reetkatablice"/>
        <w:tblW w:w="0" w:type="auto"/>
        <w:jc w:val="center"/>
        <w:tblLook w:val="04A0" w:firstRow="1" w:lastRow="0" w:firstColumn="1" w:lastColumn="0" w:noHBand="0" w:noVBand="1"/>
      </w:tblPr>
      <w:tblGrid>
        <w:gridCol w:w="2474"/>
        <w:gridCol w:w="2329"/>
        <w:gridCol w:w="2449"/>
        <w:gridCol w:w="2092"/>
      </w:tblGrid>
      <w:tr w:rsidR="00BE05C6" w14:paraId="7DB758AD" w14:textId="77777777">
        <w:trPr>
          <w:jc w:val="center"/>
        </w:trPr>
        <w:tc>
          <w:tcPr>
            <w:tcW w:w="2474" w:type="dxa"/>
            <w:vAlign w:val="center"/>
          </w:tcPr>
          <w:p w14:paraId="7DB758A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Vrsta otpada</w:t>
            </w:r>
          </w:p>
        </w:tc>
        <w:tc>
          <w:tcPr>
            <w:tcW w:w="2329" w:type="dxa"/>
            <w:vAlign w:val="center"/>
          </w:tcPr>
          <w:p w14:paraId="7DB758A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Ključni broj otpada</w:t>
            </w:r>
          </w:p>
        </w:tc>
        <w:tc>
          <w:tcPr>
            <w:tcW w:w="2449" w:type="dxa"/>
            <w:vAlign w:val="center"/>
          </w:tcPr>
          <w:p w14:paraId="7DB758A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Ukupno prikupljena masa u kilogramima</w:t>
            </w:r>
          </w:p>
        </w:tc>
        <w:tc>
          <w:tcPr>
            <w:tcW w:w="2092" w:type="dxa"/>
            <w:vAlign w:val="center"/>
          </w:tcPr>
          <w:p w14:paraId="7DB758A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Udio u ukupno prikupljenoj masi u postotcima </w:t>
            </w:r>
          </w:p>
        </w:tc>
      </w:tr>
      <w:tr w:rsidR="00BE05C6" w14:paraId="7DB758B2" w14:textId="77777777">
        <w:trPr>
          <w:jc w:val="center"/>
        </w:trPr>
        <w:tc>
          <w:tcPr>
            <w:tcW w:w="2474" w:type="dxa"/>
            <w:vAlign w:val="center"/>
          </w:tcPr>
          <w:p w14:paraId="7DB758A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Otpadni tiskarski toneri koji sadrže opasne tvari</w:t>
            </w:r>
          </w:p>
        </w:tc>
        <w:tc>
          <w:tcPr>
            <w:tcW w:w="2329" w:type="dxa"/>
            <w:vAlign w:val="center"/>
          </w:tcPr>
          <w:p w14:paraId="7DB758A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080317*</w:t>
            </w:r>
          </w:p>
        </w:tc>
        <w:tc>
          <w:tcPr>
            <w:tcW w:w="2449" w:type="dxa"/>
            <w:vAlign w:val="center"/>
          </w:tcPr>
          <w:p w14:paraId="7DB758B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11,00</w:t>
            </w:r>
          </w:p>
        </w:tc>
        <w:tc>
          <w:tcPr>
            <w:tcW w:w="2092" w:type="dxa"/>
            <w:vAlign w:val="center"/>
          </w:tcPr>
          <w:p w14:paraId="7DB758B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0,004</w:t>
            </w:r>
          </w:p>
        </w:tc>
      </w:tr>
      <w:tr w:rsidR="00BE05C6" w14:paraId="7DB758B7" w14:textId="77777777">
        <w:trPr>
          <w:jc w:val="center"/>
        </w:trPr>
        <w:tc>
          <w:tcPr>
            <w:tcW w:w="2474" w:type="dxa"/>
            <w:vAlign w:val="center"/>
          </w:tcPr>
          <w:p w14:paraId="7DB758B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Miješani papir i karton</w:t>
            </w:r>
          </w:p>
        </w:tc>
        <w:tc>
          <w:tcPr>
            <w:tcW w:w="2329" w:type="dxa"/>
            <w:vAlign w:val="center"/>
          </w:tcPr>
          <w:p w14:paraId="7DB758B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150101</w:t>
            </w:r>
          </w:p>
        </w:tc>
        <w:tc>
          <w:tcPr>
            <w:tcW w:w="2449" w:type="dxa"/>
            <w:vAlign w:val="center"/>
          </w:tcPr>
          <w:p w14:paraId="7DB758B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8.650,00</w:t>
            </w:r>
          </w:p>
        </w:tc>
        <w:tc>
          <w:tcPr>
            <w:tcW w:w="2092" w:type="dxa"/>
            <w:vAlign w:val="center"/>
          </w:tcPr>
          <w:p w14:paraId="7DB758B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3,302</w:t>
            </w:r>
          </w:p>
        </w:tc>
      </w:tr>
      <w:tr w:rsidR="00BE05C6" w14:paraId="7DB758BC" w14:textId="77777777">
        <w:trPr>
          <w:jc w:val="center"/>
        </w:trPr>
        <w:tc>
          <w:tcPr>
            <w:tcW w:w="2474" w:type="dxa"/>
            <w:vAlign w:val="center"/>
          </w:tcPr>
          <w:p w14:paraId="7DB758B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Plastična ambalaža</w:t>
            </w:r>
          </w:p>
        </w:tc>
        <w:tc>
          <w:tcPr>
            <w:tcW w:w="2329" w:type="dxa"/>
            <w:vAlign w:val="center"/>
          </w:tcPr>
          <w:p w14:paraId="7DB758B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150102</w:t>
            </w:r>
          </w:p>
        </w:tc>
        <w:tc>
          <w:tcPr>
            <w:tcW w:w="2449" w:type="dxa"/>
            <w:vAlign w:val="center"/>
          </w:tcPr>
          <w:p w14:paraId="7DB758B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8.390,00</w:t>
            </w:r>
          </w:p>
        </w:tc>
        <w:tc>
          <w:tcPr>
            <w:tcW w:w="2092" w:type="dxa"/>
            <w:vAlign w:val="center"/>
          </w:tcPr>
          <w:p w14:paraId="7DB758B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3,203</w:t>
            </w:r>
          </w:p>
        </w:tc>
      </w:tr>
      <w:tr w:rsidR="00BE05C6" w14:paraId="7DB758C1" w14:textId="77777777">
        <w:trPr>
          <w:jc w:val="center"/>
        </w:trPr>
        <w:tc>
          <w:tcPr>
            <w:tcW w:w="2474" w:type="dxa"/>
            <w:vAlign w:val="center"/>
          </w:tcPr>
          <w:p w14:paraId="7DB758B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Staklena ambalaža</w:t>
            </w:r>
          </w:p>
        </w:tc>
        <w:tc>
          <w:tcPr>
            <w:tcW w:w="2329" w:type="dxa"/>
            <w:vAlign w:val="center"/>
          </w:tcPr>
          <w:p w14:paraId="7DB758B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150103</w:t>
            </w:r>
          </w:p>
        </w:tc>
        <w:tc>
          <w:tcPr>
            <w:tcW w:w="2449" w:type="dxa"/>
            <w:vAlign w:val="center"/>
          </w:tcPr>
          <w:p w14:paraId="7DB758B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1.520,00</w:t>
            </w:r>
          </w:p>
        </w:tc>
        <w:tc>
          <w:tcPr>
            <w:tcW w:w="2092" w:type="dxa"/>
            <w:vAlign w:val="center"/>
          </w:tcPr>
          <w:p w14:paraId="7DB758C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0,580</w:t>
            </w:r>
          </w:p>
        </w:tc>
      </w:tr>
      <w:tr w:rsidR="00BE05C6" w14:paraId="7DB758C6" w14:textId="77777777">
        <w:trPr>
          <w:jc w:val="center"/>
        </w:trPr>
        <w:tc>
          <w:tcPr>
            <w:tcW w:w="2474" w:type="dxa"/>
            <w:vAlign w:val="center"/>
          </w:tcPr>
          <w:p w14:paraId="7DB758C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Mješavina betona, opeke, crijepa/pločica i keramike</w:t>
            </w:r>
          </w:p>
        </w:tc>
        <w:tc>
          <w:tcPr>
            <w:tcW w:w="2329" w:type="dxa"/>
            <w:vAlign w:val="center"/>
          </w:tcPr>
          <w:p w14:paraId="7DB758C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170107</w:t>
            </w:r>
          </w:p>
        </w:tc>
        <w:tc>
          <w:tcPr>
            <w:tcW w:w="2449" w:type="dxa"/>
            <w:vAlign w:val="center"/>
          </w:tcPr>
          <w:p w14:paraId="7DB758C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120,00</w:t>
            </w:r>
          </w:p>
        </w:tc>
        <w:tc>
          <w:tcPr>
            <w:tcW w:w="2092" w:type="dxa"/>
            <w:vAlign w:val="center"/>
          </w:tcPr>
          <w:p w14:paraId="7DB758C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0,046</w:t>
            </w:r>
          </w:p>
        </w:tc>
      </w:tr>
      <w:tr w:rsidR="00BE05C6" w14:paraId="7DB758CB" w14:textId="77777777">
        <w:trPr>
          <w:jc w:val="center"/>
        </w:trPr>
        <w:tc>
          <w:tcPr>
            <w:tcW w:w="2474" w:type="dxa"/>
            <w:vAlign w:val="center"/>
          </w:tcPr>
          <w:p w14:paraId="7DB758C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Tekstil</w:t>
            </w:r>
          </w:p>
        </w:tc>
        <w:tc>
          <w:tcPr>
            <w:tcW w:w="2329" w:type="dxa"/>
            <w:vAlign w:val="center"/>
          </w:tcPr>
          <w:p w14:paraId="7DB758C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200111</w:t>
            </w:r>
          </w:p>
        </w:tc>
        <w:tc>
          <w:tcPr>
            <w:tcW w:w="2449" w:type="dxa"/>
            <w:vAlign w:val="center"/>
          </w:tcPr>
          <w:p w14:paraId="7DB758C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2092" w:type="dxa"/>
            <w:vAlign w:val="center"/>
          </w:tcPr>
          <w:p w14:paraId="7DB758CA"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0,008</w:t>
            </w:r>
          </w:p>
        </w:tc>
      </w:tr>
      <w:tr w:rsidR="00BE05C6" w14:paraId="7DB758D0" w14:textId="77777777">
        <w:trPr>
          <w:jc w:val="center"/>
        </w:trPr>
        <w:tc>
          <w:tcPr>
            <w:tcW w:w="2474" w:type="dxa"/>
            <w:vAlign w:val="center"/>
          </w:tcPr>
          <w:p w14:paraId="7DB758C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Odbačena ee oprema</w:t>
            </w:r>
          </w:p>
        </w:tc>
        <w:tc>
          <w:tcPr>
            <w:tcW w:w="2329" w:type="dxa"/>
            <w:vAlign w:val="center"/>
          </w:tcPr>
          <w:p w14:paraId="7DB758C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200135*</w:t>
            </w:r>
          </w:p>
        </w:tc>
        <w:tc>
          <w:tcPr>
            <w:tcW w:w="2449" w:type="dxa"/>
            <w:vAlign w:val="center"/>
          </w:tcPr>
          <w:p w14:paraId="7DB758C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1.140,00</w:t>
            </w:r>
          </w:p>
        </w:tc>
        <w:tc>
          <w:tcPr>
            <w:tcW w:w="2092" w:type="dxa"/>
            <w:vAlign w:val="center"/>
          </w:tcPr>
          <w:p w14:paraId="7DB758C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0,435</w:t>
            </w:r>
          </w:p>
        </w:tc>
      </w:tr>
      <w:tr w:rsidR="00BE05C6" w14:paraId="7DB758D5" w14:textId="77777777">
        <w:trPr>
          <w:jc w:val="center"/>
        </w:trPr>
        <w:tc>
          <w:tcPr>
            <w:tcW w:w="2474" w:type="dxa"/>
            <w:vAlign w:val="center"/>
          </w:tcPr>
          <w:p w14:paraId="7DB758D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Otpadna plastika</w:t>
            </w:r>
          </w:p>
        </w:tc>
        <w:tc>
          <w:tcPr>
            <w:tcW w:w="2329" w:type="dxa"/>
            <w:vAlign w:val="center"/>
          </w:tcPr>
          <w:p w14:paraId="7DB758D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200139</w:t>
            </w:r>
          </w:p>
        </w:tc>
        <w:tc>
          <w:tcPr>
            <w:tcW w:w="2449" w:type="dxa"/>
            <w:vAlign w:val="center"/>
          </w:tcPr>
          <w:p w14:paraId="7DB758D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c>
          <w:tcPr>
            <w:tcW w:w="2092" w:type="dxa"/>
            <w:vAlign w:val="center"/>
          </w:tcPr>
          <w:p w14:paraId="7DB758D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0,038</w:t>
            </w:r>
          </w:p>
        </w:tc>
      </w:tr>
      <w:tr w:rsidR="00BE05C6" w14:paraId="7DB758DA" w14:textId="77777777">
        <w:trPr>
          <w:jc w:val="center"/>
        </w:trPr>
        <w:tc>
          <w:tcPr>
            <w:tcW w:w="2474" w:type="dxa"/>
            <w:vAlign w:val="center"/>
          </w:tcPr>
          <w:p w14:paraId="7DB758D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Metali</w:t>
            </w:r>
          </w:p>
        </w:tc>
        <w:tc>
          <w:tcPr>
            <w:tcW w:w="2329" w:type="dxa"/>
            <w:vAlign w:val="center"/>
          </w:tcPr>
          <w:p w14:paraId="7DB758D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200140</w:t>
            </w:r>
          </w:p>
        </w:tc>
        <w:tc>
          <w:tcPr>
            <w:tcW w:w="2449" w:type="dxa"/>
            <w:vAlign w:val="center"/>
          </w:tcPr>
          <w:p w14:paraId="7DB758D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2092" w:type="dxa"/>
            <w:vAlign w:val="center"/>
          </w:tcPr>
          <w:p w14:paraId="7DB758D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0,011</w:t>
            </w:r>
          </w:p>
        </w:tc>
      </w:tr>
      <w:tr w:rsidR="00BE05C6" w14:paraId="7DB758DF" w14:textId="77777777">
        <w:trPr>
          <w:jc w:val="center"/>
        </w:trPr>
        <w:tc>
          <w:tcPr>
            <w:tcW w:w="2474" w:type="dxa"/>
            <w:vAlign w:val="center"/>
          </w:tcPr>
          <w:p w14:paraId="7DB758D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Miješani komunalni otpad</w:t>
            </w:r>
          </w:p>
        </w:tc>
        <w:tc>
          <w:tcPr>
            <w:tcW w:w="2329" w:type="dxa"/>
            <w:vAlign w:val="center"/>
          </w:tcPr>
          <w:p w14:paraId="7DB758D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200301</w:t>
            </w:r>
          </w:p>
        </w:tc>
        <w:tc>
          <w:tcPr>
            <w:tcW w:w="2449" w:type="dxa"/>
            <w:vAlign w:val="center"/>
          </w:tcPr>
          <w:p w14:paraId="7DB758D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238.090,00</w:t>
            </w:r>
          </w:p>
        </w:tc>
        <w:tc>
          <w:tcPr>
            <w:tcW w:w="2092" w:type="dxa"/>
            <w:vAlign w:val="center"/>
          </w:tcPr>
          <w:p w14:paraId="7DB758D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90,888</w:t>
            </w:r>
          </w:p>
        </w:tc>
      </w:tr>
      <w:tr w:rsidR="00BE05C6" w14:paraId="7DB758E4" w14:textId="77777777">
        <w:trPr>
          <w:jc w:val="center"/>
        </w:trPr>
        <w:tc>
          <w:tcPr>
            <w:tcW w:w="2474" w:type="dxa"/>
            <w:vAlign w:val="center"/>
          </w:tcPr>
          <w:p w14:paraId="7DB758E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Glomazni otpad</w:t>
            </w:r>
          </w:p>
        </w:tc>
        <w:tc>
          <w:tcPr>
            <w:tcW w:w="2329" w:type="dxa"/>
            <w:vAlign w:val="center"/>
          </w:tcPr>
          <w:p w14:paraId="7DB758E1"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200307</w:t>
            </w:r>
          </w:p>
        </w:tc>
        <w:tc>
          <w:tcPr>
            <w:tcW w:w="2449" w:type="dxa"/>
            <w:vAlign w:val="center"/>
          </w:tcPr>
          <w:p w14:paraId="7DB758E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3.888,00</w:t>
            </w:r>
          </w:p>
        </w:tc>
        <w:tc>
          <w:tcPr>
            <w:tcW w:w="2092" w:type="dxa"/>
            <w:vAlign w:val="center"/>
          </w:tcPr>
          <w:p w14:paraId="7DB758E3"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1,484</w:t>
            </w:r>
          </w:p>
        </w:tc>
      </w:tr>
      <w:tr w:rsidR="00BE05C6" w14:paraId="7DB758E9" w14:textId="77777777">
        <w:trPr>
          <w:jc w:val="center"/>
        </w:trPr>
        <w:tc>
          <w:tcPr>
            <w:tcW w:w="2474" w:type="dxa"/>
            <w:vAlign w:val="center"/>
          </w:tcPr>
          <w:p w14:paraId="7DB758E5" w14:textId="77777777" w:rsidR="00BE05C6" w:rsidRDefault="00BE05C6">
            <w:pPr>
              <w:spacing w:line="360" w:lineRule="auto"/>
              <w:jc w:val="center"/>
              <w:rPr>
                <w:rFonts w:ascii="Times New Roman" w:hAnsi="Times New Roman" w:cs="Times New Roman"/>
                <w:sz w:val="24"/>
                <w:szCs w:val="24"/>
              </w:rPr>
            </w:pPr>
          </w:p>
        </w:tc>
        <w:tc>
          <w:tcPr>
            <w:tcW w:w="2329" w:type="dxa"/>
            <w:vAlign w:val="center"/>
          </w:tcPr>
          <w:p w14:paraId="7DB758E6" w14:textId="77777777" w:rsidR="00BE05C6" w:rsidRDefault="00BE05C6">
            <w:pPr>
              <w:spacing w:line="360" w:lineRule="auto"/>
              <w:jc w:val="center"/>
              <w:rPr>
                <w:rFonts w:ascii="Times New Roman" w:hAnsi="Times New Roman" w:cs="Times New Roman"/>
                <w:sz w:val="24"/>
                <w:szCs w:val="24"/>
              </w:rPr>
            </w:pPr>
          </w:p>
        </w:tc>
        <w:tc>
          <w:tcPr>
            <w:tcW w:w="2449" w:type="dxa"/>
            <w:vAlign w:val="center"/>
          </w:tcPr>
          <w:p w14:paraId="7DB758E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261.959,00</w:t>
            </w:r>
          </w:p>
        </w:tc>
        <w:tc>
          <w:tcPr>
            <w:tcW w:w="2092" w:type="dxa"/>
            <w:vAlign w:val="center"/>
          </w:tcPr>
          <w:p w14:paraId="7DB758E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100,00</w:t>
            </w:r>
          </w:p>
        </w:tc>
      </w:tr>
    </w:tbl>
    <w:p w14:paraId="7DB758EA" w14:textId="77777777" w:rsidR="00BE05C6" w:rsidRDefault="00BE05C6">
      <w:pPr>
        <w:spacing w:after="0" w:line="360" w:lineRule="auto"/>
        <w:jc w:val="both"/>
        <w:rPr>
          <w:rFonts w:ascii="Times New Roman" w:hAnsi="Times New Roman" w:cs="Times New Roman"/>
          <w:sz w:val="24"/>
          <w:szCs w:val="24"/>
        </w:rPr>
      </w:pPr>
    </w:p>
    <w:p w14:paraId="7DB758E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Namjera je bila započeti s odvajanjem korisnog otpada, međutim to do kraja 2021. godine nije u potpunosti zaživjelo, jednim dijelom zbog nenamjerne greške korisnika, a drugim, većim, dijelom, zbog nesavjesnog postupanja korisnika koji u spremnike ne odlažu ono za što su predviđeni. U 2023. godini odvojeno je sakupljeno, putem mobilnog reciklažnog dvorišta, samo nešto više različitih vrsta otpada u odnosu na prethodne godine, a koje su predane ovlaštenim sakupljačima.</w:t>
      </w:r>
    </w:p>
    <w:p w14:paraId="7DB758EC" w14:textId="77777777" w:rsidR="00BE05C6" w:rsidRDefault="00BE05C6">
      <w:pPr>
        <w:spacing w:after="0" w:line="360" w:lineRule="auto"/>
        <w:jc w:val="both"/>
        <w:rPr>
          <w:rFonts w:ascii="Times New Roman" w:hAnsi="Times New Roman" w:cs="Times New Roman"/>
          <w:sz w:val="24"/>
          <w:szCs w:val="24"/>
        </w:rPr>
      </w:pPr>
    </w:p>
    <w:p w14:paraId="7DB758ED"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POTICAJNA NAKNADA ZA SMANJENJE KOLIČINE MIJEŠANOG KOMUNALNOG OTPADA</w:t>
      </w:r>
    </w:p>
    <w:p w14:paraId="7DB758EE" w14:textId="77777777" w:rsidR="00BE05C6" w:rsidRDefault="00BE05C6">
      <w:pPr>
        <w:spacing w:after="0" w:line="360" w:lineRule="auto"/>
        <w:jc w:val="both"/>
        <w:rPr>
          <w:rFonts w:ascii="Times New Roman" w:hAnsi="Times New Roman" w:cs="Times New Roman"/>
          <w:sz w:val="24"/>
          <w:szCs w:val="24"/>
        </w:rPr>
      </w:pPr>
    </w:p>
    <w:p w14:paraId="7DB758E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Poticajna naknada je mjera kojom se potiče jedinica lokalne samouprave da, u okviru, svojih ovlasti provede mjere kojima se smanjuje udio miješanog komunalnog otpada u komunalnom otpadu koji nastaje na području te jedinice lokalne samouprave. Obveznik plaćanja poticajne </w:t>
      </w:r>
      <w:r>
        <w:rPr>
          <w:rFonts w:ascii="Times New Roman" w:hAnsi="Times New Roman" w:cs="Times New Roman"/>
          <w:sz w:val="24"/>
          <w:szCs w:val="24"/>
        </w:rPr>
        <w:lastRenderedPageBreak/>
        <w:t>naknade je jedinica lokalne samouprave temeljem rješenja Fonda za zaštitu okoliša i energetsku učinkovitost. Fond za zaštitu okoliša i energetsku učinkovitost, do 31. prosinca tekuće kalendarske godine za prethodnu kalendarsku godinu, donosi po službenoj dužnosti rješenje kojim utvrđuje obveznika plaćanja i iznos poticajne naknade za kalendarsku godinu.</w:t>
      </w:r>
    </w:p>
    <w:p w14:paraId="7DB758F0"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Algoritam za izračun poticajne naknade promijenjen je novim Zakonom o gospodarenju otpadom, na način da nema više granične 2015. godine, već se prekomjerna količina miješanog komunalnog otpada izračunava kao razlika stvarne količine miješanog komunalnog otpada i one koja proizlazi primjenom ciljne stope odvojenog sakupljanja u toj godini na ukupnu količinu komunalnog otpada u jedinici lokalne samouprave. Poticajna naknada po novom algoritmu obračunava se od 2021. godine.</w:t>
      </w:r>
    </w:p>
    <w:p w14:paraId="7DB758F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tablici 6. prikazan je izračun poticajne naknade za Općinu Promina za 2022. godinu prema rješenju Fonda za zaštitu okoliša i energetsku učinkovitost. Izračun poticajne naknade za Općinu Promina za 2023. godinu nije prikazan jer rješenje vezano za poticajnu naknadu za Općinu Promina za 2023. godinu nije izdano do trenutka pisanja ovog izvješća.</w:t>
      </w:r>
    </w:p>
    <w:p w14:paraId="7DB758F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Podaci korišteni za izračun prikazan u tablici 5. temelje se na verificiranim podacima koje davatelj javne usluge upisuje u bazu Registar onečišćivača okoliša do 31. ožujka tekuće godine za prethodnu kalendarsku godinu.</w:t>
      </w:r>
    </w:p>
    <w:p w14:paraId="7DB758F3" w14:textId="77777777" w:rsidR="00BE05C6" w:rsidRDefault="00BE05C6">
      <w:pPr>
        <w:spacing w:after="0" w:line="360" w:lineRule="auto"/>
        <w:jc w:val="both"/>
        <w:rPr>
          <w:rFonts w:ascii="Times New Roman" w:hAnsi="Times New Roman" w:cs="Times New Roman"/>
          <w:sz w:val="24"/>
          <w:szCs w:val="24"/>
        </w:rPr>
      </w:pPr>
    </w:p>
    <w:p w14:paraId="7DB758F4" w14:textId="77777777" w:rsidR="00BE05C6" w:rsidRDefault="00BE05C6">
      <w:pPr>
        <w:spacing w:after="0" w:line="360" w:lineRule="auto"/>
        <w:jc w:val="both"/>
        <w:rPr>
          <w:rFonts w:ascii="Times New Roman" w:hAnsi="Times New Roman" w:cs="Times New Roman"/>
          <w:sz w:val="24"/>
          <w:szCs w:val="24"/>
        </w:rPr>
      </w:pPr>
    </w:p>
    <w:p w14:paraId="7DB758F5" w14:textId="77777777" w:rsidR="00BE05C6" w:rsidRDefault="00BE05C6">
      <w:pPr>
        <w:spacing w:after="0" w:line="360" w:lineRule="auto"/>
        <w:jc w:val="both"/>
        <w:rPr>
          <w:rFonts w:ascii="Times New Roman" w:hAnsi="Times New Roman" w:cs="Times New Roman"/>
          <w:sz w:val="24"/>
          <w:szCs w:val="24"/>
        </w:rPr>
      </w:pPr>
    </w:p>
    <w:p w14:paraId="7DB758F6" w14:textId="77777777" w:rsidR="00BE05C6" w:rsidRDefault="00BE05C6">
      <w:pPr>
        <w:spacing w:after="0" w:line="360" w:lineRule="auto"/>
        <w:jc w:val="both"/>
        <w:rPr>
          <w:rFonts w:ascii="Times New Roman" w:hAnsi="Times New Roman" w:cs="Times New Roman"/>
          <w:sz w:val="24"/>
          <w:szCs w:val="24"/>
        </w:rPr>
      </w:pPr>
    </w:p>
    <w:p w14:paraId="7DB758F7" w14:textId="77777777" w:rsidR="00BE05C6" w:rsidRDefault="00BE05C6">
      <w:pPr>
        <w:spacing w:after="0" w:line="360" w:lineRule="auto"/>
        <w:jc w:val="both"/>
        <w:rPr>
          <w:rFonts w:ascii="Times New Roman" w:hAnsi="Times New Roman" w:cs="Times New Roman"/>
          <w:sz w:val="24"/>
          <w:szCs w:val="24"/>
        </w:rPr>
      </w:pPr>
    </w:p>
    <w:p w14:paraId="7DB758F8" w14:textId="77777777" w:rsidR="00BE05C6" w:rsidRDefault="00BE05C6">
      <w:pPr>
        <w:spacing w:after="0" w:line="360" w:lineRule="auto"/>
        <w:jc w:val="both"/>
        <w:rPr>
          <w:rFonts w:ascii="Times New Roman" w:hAnsi="Times New Roman" w:cs="Times New Roman"/>
          <w:sz w:val="24"/>
          <w:szCs w:val="24"/>
        </w:rPr>
      </w:pPr>
    </w:p>
    <w:p w14:paraId="7DB758F9" w14:textId="77777777" w:rsidR="00BE05C6" w:rsidRDefault="00BE05C6">
      <w:pPr>
        <w:spacing w:after="0" w:line="360" w:lineRule="auto"/>
        <w:jc w:val="both"/>
        <w:rPr>
          <w:rFonts w:ascii="Times New Roman" w:hAnsi="Times New Roman" w:cs="Times New Roman"/>
          <w:sz w:val="24"/>
          <w:szCs w:val="24"/>
        </w:rPr>
      </w:pPr>
    </w:p>
    <w:p w14:paraId="7DB758FA" w14:textId="77777777" w:rsidR="00BE05C6" w:rsidRDefault="00BE05C6">
      <w:pPr>
        <w:spacing w:after="0" w:line="360" w:lineRule="auto"/>
        <w:jc w:val="both"/>
        <w:rPr>
          <w:rFonts w:ascii="Times New Roman" w:hAnsi="Times New Roman" w:cs="Times New Roman"/>
          <w:sz w:val="24"/>
          <w:szCs w:val="24"/>
        </w:rPr>
      </w:pPr>
    </w:p>
    <w:p w14:paraId="7DB758FB" w14:textId="77777777" w:rsidR="00BE05C6" w:rsidRDefault="00BE05C6">
      <w:pPr>
        <w:spacing w:after="0" w:line="360" w:lineRule="auto"/>
        <w:jc w:val="both"/>
        <w:rPr>
          <w:rFonts w:ascii="Times New Roman" w:hAnsi="Times New Roman" w:cs="Times New Roman"/>
          <w:sz w:val="24"/>
          <w:szCs w:val="24"/>
        </w:rPr>
      </w:pPr>
    </w:p>
    <w:p w14:paraId="7DB758FC" w14:textId="77777777" w:rsidR="00BE05C6" w:rsidRDefault="00BE05C6">
      <w:pPr>
        <w:spacing w:after="0" w:line="360" w:lineRule="auto"/>
        <w:jc w:val="both"/>
        <w:rPr>
          <w:rFonts w:ascii="Times New Roman" w:hAnsi="Times New Roman" w:cs="Times New Roman"/>
          <w:sz w:val="24"/>
          <w:szCs w:val="24"/>
        </w:rPr>
      </w:pPr>
    </w:p>
    <w:p w14:paraId="7DB758FD" w14:textId="77777777" w:rsidR="00BE05C6" w:rsidRDefault="00BE05C6">
      <w:pPr>
        <w:spacing w:after="0" w:line="360" w:lineRule="auto"/>
        <w:jc w:val="both"/>
        <w:rPr>
          <w:rFonts w:ascii="Times New Roman" w:hAnsi="Times New Roman" w:cs="Times New Roman"/>
          <w:sz w:val="24"/>
          <w:szCs w:val="24"/>
        </w:rPr>
      </w:pPr>
    </w:p>
    <w:p w14:paraId="7DB758FE" w14:textId="77777777" w:rsidR="00BE05C6" w:rsidRDefault="00BE05C6">
      <w:pPr>
        <w:spacing w:after="0" w:line="360" w:lineRule="auto"/>
        <w:jc w:val="both"/>
        <w:rPr>
          <w:rFonts w:ascii="Times New Roman" w:hAnsi="Times New Roman" w:cs="Times New Roman"/>
          <w:sz w:val="24"/>
          <w:szCs w:val="24"/>
        </w:rPr>
      </w:pPr>
    </w:p>
    <w:p w14:paraId="7DB758FF" w14:textId="77777777" w:rsidR="00BE05C6" w:rsidRDefault="00BE05C6">
      <w:pPr>
        <w:spacing w:after="0" w:line="360" w:lineRule="auto"/>
        <w:jc w:val="both"/>
        <w:rPr>
          <w:rFonts w:ascii="Times New Roman" w:hAnsi="Times New Roman" w:cs="Times New Roman"/>
          <w:sz w:val="24"/>
          <w:szCs w:val="24"/>
        </w:rPr>
      </w:pPr>
    </w:p>
    <w:p w14:paraId="7DB75900" w14:textId="77777777" w:rsidR="00BE05C6" w:rsidRDefault="00BE05C6">
      <w:pPr>
        <w:spacing w:after="0" w:line="360" w:lineRule="auto"/>
        <w:jc w:val="both"/>
        <w:rPr>
          <w:rFonts w:ascii="Times New Roman" w:hAnsi="Times New Roman" w:cs="Times New Roman"/>
          <w:sz w:val="24"/>
          <w:szCs w:val="24"/>
        </w:rPr>
      </w:pPr>
    </w:p>
    <w:p w14:paraId="7DB75901" w14:textId="77777777" w:rsidR="00BE05C6" w:rsidRDefault="00BE05C6">
      <w:pPr>
        <w:spacing w:after="0" w:line="360" w:lineRule="auto"/>
        <w:jc w:val="both"/>
        <w:rPr>
          <w:rFonts w:ascii="Times New Roman" w:hAnsi="Times New Roman" w:cs="Times New Roman"/>
          <w:sz w:val="24"/>
          <w:szCs w:val="24"/>
        </w:rPr>
      </w:pPr>
    </w:p>
    <w:p w14:paraId="7DB75902" w14:textId="77777777" w:rsidR="00BE05C6" w:rsidRDefault="00BE05C6">
      <w:pPr>
        <w:spacing w:after="0" w:line="360" w:lineRule="auto"/>
        <w:jc w:val="both"/>
        <w:rPr>
          <w:rFonts w:ascii="Times New Roman" w:hAnsi="Times New Roman" w:cs="Times New Roman"/>
          <w:sz w:val="24"/>
          <w:szCs w:val="24"/>
        </w:rPr>
      </w:pPr>
    </w:p>
    <w:p w14:paraId="7DB75903" w14:textId="77777777" w:rsidR="00BE05C6" w:rsidRDefault="00BE05C6">
      <w:pPr>
        <w:spacing w:after="0" w:line="360" w:lineRule="auto"/>
        <w:jc w:val="both"/>
        <w:rPr>
          <w:rFonts w:ascii="Times New Roman" w:hAnsi="Times New Roman" w:cs="Times New Roman"/>
          <w:sz w:val="24"/>
          <w:szCs w:val="24"/>
        </w:rPr>
      </w:pPr>
    </w:p>
    <w:p w14:paraId="7DB75904"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Tablica 6. Izračun poticajne naknade za Općinu Promina za 2022. godinu</w:t>
      </w:r>
    </w:p>
    <w:tbl>
      <w:tblPr>
        <w:tblStyle w:val="Reetkatablice"/>
        <w:tblW w:w="0" w:type="auto"/>
        <w:tblLook w:val="04A0" w:firstRow="1" w:lastRow="0" w:firstColumn="1" w:lastColumn="0" w:noHBand="0" w:noVBand="1"/>
      </w:tblPr>
      <w:tblGrid>
        <w:gridCol w:w="1557"/>
        <w:gridCol w:w="1557"/>
        <w:gridCol w:w="1557"/>
        <w:gridCol w:w="1557"/>
        <w:gridCol w:w="1558"/>
        <w:gridCol w:w="1558"/>
      </w:tblGrid>
      <w:tr w:rsidR="00BE05C6" w14:paraId="7DB7591A" w14:textId="77777777">
        <w:tc>
          <w:tcPr>
            <w:tcW w:w="1557" w:type="dxa"/>
          </w:tcPr>
          <w:p w14:paraId="7DB7590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Masa ukupnog komunalnog otpada prikupljenog u okviru javne usluge u 2022. godini</w:t>
            </w:r>
          </w:p>
          <w:p w14:paraId="7DB7590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(tona)</w:t>
            </w:r>
          </w:p>
          <w:p w14:paraId="7DB75907" w14:textId="77777777" w:rsidR="00BE05C6" w:rsidRDefault="00000000">
            <w:pPr>
              <w:spacing w:line="360" w:lineRule="auto"/>
              <w:jc w:val="center"/>
              <w:rPr>
                <w:rFonts w:ascii="Times New Roman" w:hAnsi="Times New Roman" w:cs="Times New Roman"/>
                <w:i/>
                <w:iCs/>
                <w:sz w:val="24"/>
                <w:szCs w:val="24"/>
              </w:rPr>
            </w:pPr>
            <w:r>
              <w:rPr>
                <w:rFonts w:ascii="Times New Roman" w:hAnsi="Times New Roman" w:cs="Times New Roman"/>
                <w:sz w:val="18"/>
                <w:szCs w:val="18"/>
              </w:rPr>
              <w:t>(mUK)</w:t>
            </w:r>
          </w:p>
        </w:tc>
        <w:tc>
          <w:tcPr>
            <w:tcW w:w="1557" w:type="dxa"/>
          </w:tcPr>
          <w:p w14:paraId="7DB7590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Granična količina miješanog komunalnog otpada u 2023. godini</w:t>
            </w:r>
          </w:p>
          <w:p w14:paraId="7DB75909"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(tona)</w:t>
            </w:r>
          </w:p>
          <w:p w14:paraId="7DB7590A" w14:textId="77777777" w:rsidR="00BE05C6" w:rsidRDefault="00000000">
            <w:pPr>
              <w:spacing w:line="360" w:lineRule="auto"/>
              <w:jc w:val="center"/>
              <w:rPr>
                <w:rFonts w:ascii="Times New Roman" w:hAnsi="Times New Roman" w:cs="Times New Roman"/>
                <w:i/>
                <w:iCs/>
                <w:sz w:val="24"/>
                <w:szCs w:val="24"/>
              </w:rPr>
            </w:pPr>
            <w:r>
              <w:rPr>
                <w:rFonts w:ascii="Times New Roman" w:hAnsi="Times New Roman" w:cs="Times New Roman"/>
                <w:sz w:val="18"/>
                <w:szCs w:val="18"/>
              </w:rPr>
              <w:t>(mUKx0,50)</w:t>
            </w:r>
          </w:p>
        </w:tc>
        <w:tc>
          <w:tcPr>
            <w:tcW w:w="1557" w:type="dxa"/>
          </w:tcPr>
          <w:p w14:paraId="7DB7590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Masa miješanog komunalnog otpada prikupljen u sklopu javne usluge u 2022. godini</w:t>
            </w:r>
          </w:p>
          <w:p w14:paraId="7DB7590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(tona)</w:t>
            </w:r>
          </w:p>
          <w:p w14:paraId="7DB7590D" w14:textId="77777777" w:rsidR="00BE05C6" w:rsidRDefault="00000000">
            <w:pPr>
              <w:spacing w:line="360" w:lineRule="auto"/>
              <w:jc w:val="center"/>
              <w:rPr>
                <w:rFonts w:ascii="Times New Roman" w:hAnsi="Times New Roman" w:cs="Times New Roman"/>
                <w:sz w:val="18"/>
                <w:szCs w:val="18"/>
              </w:rPr>
            </w:pPr>
            <w:r>
              <w:rPr>
                <w:rFonts w:ascii="Times New Roman" w:hAnsi="Times New Roman" w:cs="Times New Roman"/>
                <w:sz w:val="18"/>
                <w:szCs w:val="18"/>
              </w:rPr>
              <w:t>(mMKO)</w:t>
            </w:r>
          </w:p>
          <w:p w14:paraId="7DB7590E" w14:textId="77777777" w:rsidR="00BE05C6" w:rsidRDefault="00BE05C6">
            <w:pPr>
              <w:spacing w:line="360" w:lineRule="auto"/>
              <w:jc w:val="center"/>
              <w:rPr>
                <w:rFonts w:ascii="Times New Roman" w:hAnsi="Times New Roman" w:cs="Times New Roman"/>
                <w:i/>
                <w:iCs/>
                <w:sz w:val="24"/>
                <w:szCs w:val="24"/>
              </w:rPr>
            </w:pPr>
          </w:p>
        </w:tc>
        <w:tc>
          <w:tcPr>
            <w:tcW w:w="1557" w:type="dxa"/>
            <w:vAlign w:val="center"/>
          </w:tcPr>
          <w:p w14:paraId="7DB7590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Masa sakupljenog miješanog komunalnog otpada koja prekoračuje graničnu količinu miješanog komunalnog otpada u 2022. godini</w:t>
            </w:r>
          </w:p>
          <w:p w14:paraId="7DB7591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(tona)</w:t>
            </w:r>
          </w:p>
          <w:p w14:paraId="7DB75911" w14:textId="77777777" w:rsidR="00BE05C6" w:rsidRDefault="00000000">
            <w:pPr>
              <w:spacing w:line="360" w:lineRule="auto"/>
              <w:jc w:val="center"/>
              <w:rPr>
                <w:rFonts w:ascii="Times New Roman" w:hAnsi="Times New Roman" w:cs="Times New Roman"/>
                <w:i/>
                <w:iCs/>
                <w:sz w:val="24"/>
                <w:szCs w:val="24"/>
              </w:rPr>
            </w:pPr>
            <w:r>
              <w:rPr>
                <w:rFonts w:ascii="Times New Roman" w:hAnsi="Times New Roman" w:cs="Times New Roman"/>
                <w:sz w:val="18"/>
                <w:szCs w:val="18"/>
              </w:rPr>
              <w:t>(mSK=mMKO-(mUKx0,54))</w:t>
            </w:r>
          </w:p>
        </w:tc>
        <w:tc>
          <w:tcPr>
            <w:tcW w:w="1558" w:type="dxa"/>
            <w:vAlign w:val="center"/>
          </w:tcPr>
          <w:p w14:paraId="7DB75912"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Jedinična poticajna naknada za 2022. godinu</w:t>
            </w:r>
          </w:p>
          <w:p w14:paraId="7DB75913" w14:textId="77777777" w:rsidR="00BE05C6" w:rsidRDefault="00000000">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(EUR/t)</w:t>
            </w:r>
          </w:p>
        </w:tc>
        <w:tc>
          <w:tcPr>
            <w:tcW w:w="1558" w:type="dxa"/>
            <w:vAlign w:val="center"/>
          </w:tcPr>
          <w:p w14:paraId="7DB75914"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Iznos poticajne naknade za 2022. godinu (kn)</w:t>
            </w:r>
          </w:p>
          <w:p w14:paraId="7DB75915"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od</w:t>
            </w:r>
          </w:p>
          <w:p w14:paraId="7DB75916"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1.1.2022.</w:t>
            </w:r>
          </w:p>
          <w:p w14:paraId="7DB75917"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do</w:t>
            </w:r>
          </w:p>
          <w:p w14:paraId="7DB75918"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31.12.2022.</w:t>
            </w:r>
          </w:p>
          <w:p w14:paraId="7DB75919" w14:textId="77777777" w:rsidR="00BE05C6" w:rsidRDefault="00000000">
            <w:pPr>
              <w:spacing w:line="360" w:lineRule="auto"/>
              <w:jc w:val="center"/>
              <w:rPr>
                <w:rFonts w:ascii="Times New Roman" w:hAnsi="Times New Roman" w:cs="Times New Roman"/>
                <w:i/>
                <w:iCs/>
                <w:sz w:val="24"/>
                <w:szCs w:val="24"/>
              </w:rPr>
            </w:pPr>
            <w:r>
              <w:rPr>
                <w:rFonts w:ascii="Times New Roman" w:hAnsi="Times New Roman" w:cs="Times New Roman"/>
                <w:sz w:val="24"/>
                <w:szCs w:val="24"/>
              </w:rPr>
              <w:t>(EUR)</w:t>
            </w:r>
          </w:p>
        </w:tc>
      </w:tr>
      <w:tr w:rsidR="00BE05C6" w14:paraId="7DB75921" w14:textId="77777777">
        <w:tc>
          <w:tcPr>
            <w:tcW w:w="1557" w:type="dxa"/>
          </w:tcPr>
          <w:p w14:paraId="7DB7591B"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239,6300</w:t>
            </w:r>
          </w:p>
        </w:tc>
        <w:tc>
          <w:tcPr>
            <w:tcW w:w="1557" w:type="dxa"/>
          </w:tcPr>
          <w:p w14:paraId="7DB7591C"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15,0200</w:t>
            </w:r>
          </w:p>
        </w:tc>
        <w:tc>
          <w:tcPr>
            <w:tcW w:w="1557" w:type="dxa"/>
          </w:tcPr>
          <w:p w14:paraId="7DB7591D"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224,4300</w:t>
            </w:r>
          </w:p>
        </w:tc>
        <w:tc>
          <w:tcPr>
            <w:tcW w:w="1557" w:type="dxa"/>
            <w:vAlign w:val="center"/>
          </w:tcPr>
          <w:p w14:paraId="7DB7591E"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104,6100</w:t>
            </w:r>
          </w:p>
        </w:tc>
        <w:tc>
          <w:tcPr>
            <w:tcW w:w="1558" w:type="dxa"/>
            <w:vAlign w:val="center"/>
          </w:tcPr>
          <w:p w14:paraId="7DB7591F"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26,54 EUR/t</w:t>
            </w:r>
          </w:p>
        </w:tc>
        <w:tc>
          <w:tcPr>
            <w:tcW w:w="1558" w:type="dxa"/>
            <w:vAlign w:val="center"/>
          </w:tcPr>
          <w:p w14:paraId="7DB75920" w14:textId="77777777" w:rsidR="00BE05C6" w:rsidRDefault="00000000">
            <w:pPr>
              <w:spacing w:line="360" w:lineRule="auto"/>
              <w:jc w:val="center"/>
              <w:rPr>
                <w:rFonts w:ascii="Times New Roman" w:hAnsi="Times New Roman" w:cs="Times New Roman"/>
                <w:sz w:val="24"/>
                <w:szCs w:val="24"/>
              </w:rPr>
            </w:pPr>
            <w:r>
              <w:rPr>
                <w:rFonts w:ascii="Times New Roman" w:hAnsi="Times New Roman" w:cs="Times New Roman"/>
                <w:sz w:val="24"/>
                <w:szCs w:val="24"/>
              </w:rPr>
              <w:t>2776,35</w:t>
            </w:r>
          </w:p>
        </w:tc>
      </w:tr>
    </w:tbl>
    <w:p w14:paraId="7DB75922" w14:textId="77777777" w:rsidR="00BE05C6" w:rsidRDefault="00BE05C6">
      <w:pPr>
        <w:spacing w:after="0" w:line="360" w:lineRule="auto"/>
        <w:jc w:val="both"/>
        <w:rPr>
          <w:rFonts w:ascii="Times New Roman" w:hAnsi="Times New Roman" w:cs="Times New Roman"/>
          <w:sz w:val="24"/>
          <w:szCs w:val="24"/>
        </w:rPr>
      </w:pPr>
    </w:p>
    <w:p w14:paraId="7DB7592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EDUKACIJA GRAĐANA S CILJEM STVARANJA DRUŠTVA KOJE PAMETNO BRINE O OKOLIŠU</w:t>
      </w:r>
    </w:p>
    <w:p w14:paraId="7DB75924" w14:textId="77777777" w:rsidR="00BE05C6" w:rsidRDefault="00BE05C6">
      <w:pPr>
        <w:spacing w:after="0" w:line="360" w:lineRule="auto"/>
        <w:jc w:val="both"/>
        <w:rPr>
          <w:rFonts w:ascii="Times New Roman" w:hAnsi="Times New Roman" w:cs="Times New Roman"/>
          <w:sz w:val="24"/>
          <w:szCs w:val="24"/>
        </w:rPr>
      </w:pPr>
    </w:p>
    <w:p w14:paraId="7DB7592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Edukacija građana tijekom 2023. godine većinom se svodila na komunikaciju putem mrežne stranice društva EKO Promina d.o.o. U 2023. godini društvo EKO Promina d.o.o. je izradilo informativni letak naziva Obavijest o sakupljanju komunalnog otpada koji je poslan svakom korisniku na njegovu dostavnu adresu te je postavljen i na mrežnim stranicama društva.</w:t>
      </w:r>
    </w:p>
    <w:p w14:paraId="7DB7592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Sukladno članku 114. Zakona jedinica lokalne samouprave dužna je o svom trošku, na odgovarajući način osigurati godišnje provedbu informativnih aktivnosti u svezi gospodarenja otpadom na svojem području, a osobito najmanje jednu javnu tribinu, te informativne publikacije o gospodarenju otpadom. Aktivnosti spomenute u članku 114. Zakona, u 2023. godini provedene su u studenom 2023. godine i to na način da je za mještane općine organizirana edukacija o gospodarenju otpadom 16. 11. 2023. godine, a za djecu vrtićkog i osnovnoškolskog uzrasta 17. 11. 2023. godine. Na edukaciji organiziranoj za mještane općine nije se odazvao nitko dok su na edukaciji u vrtiću i školi bila prisutna sva djeca. Tijekom prosinca 2023. godine tiskani su letci: Odvojeno sakupljanje komunalnog otpada na području Općine Promina, Odvojeno prikupljanje papira i plastike, Kompostiranje i Recikliranje otpadnih jestivih ulja i masti, a koje je društvo EKO </w:t>
      </w:r>
      <w:r>
        <w:rPr>
          <w:rFonts w:ascii="Times New Roman" w:hAnsi="Times New Roman" w:cs="Times New Roman"/>
          <w:sz w:val="24"/>
          <w:szCs w:val="24"/>
        </w:rPr>
        <w:lastRenderedPageBreak/>
        <w:t>PROMINA d.o.o. dostavilo korisnicima na kućnu adresu zajedno s računima za odvoz otpada za mjesec prosinac 2023. godine.</w:t>
      </w:r>
    </w:p>
    <w:p w14:paraId="7DB75927" w14:textId="77777777" w:rsidR="00BE05C6" w:rsidRDefault="00BE05C6">
      <w:pPr>
        <w:spacing w:after="0" w:line="360" w:lineRule="auto"/>
        <w:jc w:val="both"/>
        <w:rPr>
          <w:rFonts w:ascii="Times New Roman" w:hAnsi="Times New Roman" w:cs="Times New Roman"/>
          <w:sz w:val="24"/>
          <w:szCs w:val="24"/>
        </w:rPr>
      </w:pPr>
    </w:p>
    <w:p w14:paraId="7DB75928" w14:textId="77777777" w:rsidR="00BE05C6" w:rsidRDefault="00BE05C6">
      <w:pPr>
        <w:spacing w:after="0" w:line="360" w:lineRule="auto"/>
        <w:jc w:val="both"/>
        <w:rPr>
          <w:rFonts w:ascii="Times New Roman" w:hAnsi="Times New Roman" w:cs="Times New Roman"/>
          <w:sz w:val="24"/>
          <w:szCs w:val="24"/>
        </w:rPr>
      </w:pPr>
    </w:p>
    <w:p w14:paraId="7DB75929" w14:textId="77777777" w:rsidR="00BE05C6" w:rsidRDefault="00BE05C6">
      <w:pPr>
        <w:spacing w:after="0" w:line="360" w:lineRule="auto"/>
        <w:jc w:val="both"/>
        <w:rPr>
          <w:rFonts w:ascii="Times New Roman" w:hAnsi="Times New Roman" w:cs="Times New Roman"/>
          <w:sz w:val="24"/>
          <w:szCs w:val="24"/>
        </w:rPr>
      </w:pPr>
    </w:p>
    <w:p w14:paraId="7DB7592A" w14:textId="77777777" w:rsidR="00BE05C6" w:rsidRDefault="00BE05C6">
      <w:pPr>
        <w:spacing w:after="0" w:line="360" w:lineRule="auto"/>
        <w:jc w:val="both"/>
        <w:rPr>
          <w:rFonts w:ascii="Times New Roman" w:hAnsi="Times New Roman" w:cs="Times New Roman"/>
          <w:sz w:val="24"/>
          <w:szCs w:val="24"/>
        </w:rPr>
      </w:pPr>
    </w:p>
    <w:p w14:paraId="7DB7592B" w14:textId="77777777" w:rsidR="00BE05C6" w:rsidRDefault="00BE05C6">
      <w:pPr>
        <w:spacing w:after="0" w:line="360" w:lineRule="auto"/>
        <w:jc w:val="both"/>
        <w:rPr>
          <w:rFonts w:ascii="Times New Roman" w:hAnsi="Times New Roman" w:cs="Times New Roman"/>
          <w:sz w:val="24"/>
          <w:szCs w:val="24"/>
        </w:rPr>
      </w:pPr>
    </w:p>
    <w:p w14:paraId="7DB7592C" w14:textId="77777777" w:rsidR="00BE05C6" w:rsidRDefault="00BE05C6">
      <w:pPr>
        <w:spacing w:after="0" w:line="360" w:lineRule="auto"/>
        <w:jc w:val="both"/>
        <w:rPr>
          <w:rFonts w:ascii="Times New Roman" w:hAnsi="Times New Roman" w:cs="Times New Roman"/>
          <w:sz w:val="24"/>
          <w:szCs w:val="24"/>
        </w:rPr>
      </w:pPr>
    </w:p>
    <w:p w14:paraId="7DB7592D" w14:textId="77777777" w:rsidR="00BE05C6" w:rsidRDefault="00BE05C6">
      <w:pPr>
        <w:spacing w:after="0" w:line="360" w:lineRule="auto"/>
        <w:jc w:val="both"/>
        <w:rPr>
          <w:rFonts w:ascii="Times New Roman" w:hAnsi="Times New Roman" w:cs="Times New Roman"/>
          <w:sz w:val="24"/>
          <w:szCs w:val="24"/>
        </w:rPr>
      </w:pPr>
    </w:p>
    <w:p w14:paraId="7DB7592E" w14:textId="77777777" w:rsidR="00BE05C6" w:rsidRDefault="00BE05C6">
      <w:pPr>
        <w:spacing w:after="0" w:line="360" w:lineRule="auto"/>
        <w:jc w:val="both"/>
        <w:rPr>
          <w:rFonts w:ascii="Times New Roman" w:hAnsi="Times New Roman" w:cs="Times New Roman"/>
          <w:sz w:val="24"/>
          <w:szCs w:val="24"/>
        </w:rPr>
      </w:pPr>
    </w:p>
    <w:p w14:paraId="7DB7592F" w14:textId="77777777" w:rsidR="00BE05C6" w:rsidRDefault="00BE05C6">
      <w:pPr>
        <w:spacing w:after="0" w:line="360" w:lineRule="auto"/>
        <w:jc w:val="both"/>
        <w:rPr>
          <w:rFonts w:ascii="Times New Roman" w:hAnsi="Times New Roman" w:cs="Times New Roman"/>
          <w:sz w:val="24"/>
          <w:szCs w:val="24"/>
        </w:rPr>
      </w:pPr>
    </w:p>
    <w:p w14:paraId="7DB75930" w14:textId="77777777" w:rsidR="00BE05C6" w:rsidRDefault="00BE05C6">
      <w:pPr>
        <w:spacing w:after="0" w:line="360" w:lineRule="auto"/>
        <w:jc w:val="both"/>
        <w:rPr>
          <w:rFonts w:ascii="Times New Roman" w:hAnsi="Times New Roman" w:cs="Times New Roman"/>
          <w:sz w:val="24"/>
          <w:szCs w:val="24"/>
        </w:rPr>
      </w:pPr>
    </w:p>
    <w:p w14:paraId="7DB75931" w14:textId="77777777" w:rsidR="00BE05C6" w:rsidRDefault="00BE05C6">
      <w:pPr>
        <w:spacing w:after="0" w:line="360" w:lineRule="auto"/>
        <w:jc w:val="both"/>
        <w:rPr>
          <w:rFonts w:ascii="Times New Roman" w:hAnsi="Times New Roman" w:cs="Times New Roman"/>
          <w:sz w:val="24"/>
          <w:szCs w:val="24"/>
        </w:rPr>
      </w:pPr>
    </w:p>
    <w:p w14:paraId="7DB75932" w14:textId="77777777" w:rsidR="00BE05C6" w:rsidRDefault="00BE05C6">
      <w:pPr>
        <w:spacing w:after="0" w:line="360" w:lineRule="auto"/>
        <w:jc w:val="both"/>
        <w:rPr>
          <w:rFonts w:ascii="Times New Roman" w:hAnsi="Times New Roman" w:cs="Times New Roman"/>
          <w:sz w:val="24"/>
          <w:szCs w:val="24"/>
        </w:rPr>
      </w:pPr>
    </w:p>
    <w:p w14:paraId="7DB75933" w14:textId="77777777" w:rsidR="00BE05C6" w:rsidRDefault="00BE05C6">
      <w:pPr>
        <w:spacing w:after="0" w:line="360" w:lineRule="auto"/>
        <w:jc w:val="both"/>
        <w:rPr>
          <w:rFonts w:ascii="Times New Roman" w:hAnsi="Times New Roman" w:cs="Times New Roman"/>
          <w:sz w:val="24"/>
          <w:szCs w:val="24"/>
        </w:rPr>
      </w:pPr>
    </w:p>
    <w:p w14:paraId="7DB75934" w14:textId="77777777" w:rsidR="00BE05C6" w:rsidRDefault="00BE05C6">
      <w:pPr>
        <w:spacing w:after="0" w:line="360" w:lineRule="auto"/>
        <w:jc w:val="both"/>
        <w:rPr>
          <w:rFonts w:ascii="Times New Roman" w:hAnsi="Times New Roman" w:cs="Times New Roman"/>
          <w:sz w:val="24"/>
          <w:szCs w:val="24"/>
        </w:rPr>
      </w:pPr>
    </w:p>
    <w:p w14:paraId="7DB75935" w14:textId="77777777" w:rsidR="00BE05C6" w:rsidRDefault="00BE05C6">
      <w:pPr>
        <w:spacing w:after="0" w:line="360" w:lineRule="auto"/>
        <w:jc w:val="both"/>
        <w:rPr>
          <w:rFonts w:ascii="Times New Roman" w:hAnsi="Times New Roman" w:cs="Times New Roman"/>
          <w:sz w:val="24"/>
          <w:szCs w:val="24"/>
        </w:rPr>
      </w:pPr>
    </w:p>
    <w:p w14:paraId="7DB75936" w14:textId="77777777" w:rsidR="00BE05C6" w:rsidRDefault="00BE05C6">
      <w:pPr>
        <w:spacing w:after="0" w:line="360" w:lineRule="auto"/>
        <w:jc w:val="both"/>
        <w:rPr>
          <w:rFonts w:ascii="Times New Roman" w:hAnsi="Times New Roman" w:cs="Times New Roman"/>
          <w:sz w:val="24"/>
          <w:szCs w:val="24"/>
        </w:rPr>
      </w:pPr>
    </w:p>
    <w:p w14:paraId="7DB75937" w14:textId="77777777" w:rsidR="00BE05C6" w:rsidRDefault="00BE05C6">
      <w:pPr>
        <w:spacing w:after="0" w:line="360" w:lineRule="auto"/>
        <w:jc w:val="both"/>
        <w:rPr>
          <w:rFonts w:ascii="Times New Roman" w:hAnsi="Times New Roman" w:cs="Times New Roman"/>
          <w:sz w:val="24"/>
          <w:szCs w:val="24"/>
        </w:rPr>
      </w:pPr>
    </w:p>
    <w:p w14:paraId="7DB75938" w14:textId="77777777" w:rsidR="00BE05C6" w:rsidRDefault="00BE05C6">
      <w:pPr>
        <w:spacing w:after="0" w:line="360" w:lineRule="auto"/>
        <w:jc w:val="both"/>
        <w:rPr>
          <w:rFonts w:ascii="Times New Roman" w:hAnsi="Times New Roman" w:cs="Times New Roman"/>
          <w:sz w:val="24"/>
          <w:szCs w:val="24"/>
        </w:rPr>
      </w:pPr>
    </w:p>
    <w:p w14:paraId="7DB75939" w14:textId="77777777" w:rsidR="00BE05C6" w:rsidRDefault="00BE05C6">
      <w:pPr>
        <w:spacing w:after="0" w:line="360" w:lineRule="auto"/>
        <w:jc w:val="both"/>
        <w:rPr>
          <w:rFonts w:ascii="Times New Roman" w:hAnsi="Times New Roman" w:cs="Times New Roman"/>
          <w:sz w:val="24"/>
          <w:szCs w:val="24"/>
        </w:rPr>
      </w:pPr>
    </w:p>
    <w:p w14:paraId="7DB7593A" w14:textId="77777777" w:rsidR="00BE05C6" w:rsidRDefault="00BE05C6">
      <w:pPr>
        <w:spacing w:after="0" w:line="360" w:lineRule="auto"/>
        <w:jc w:val="both"/>
        <w:rPr>
          <w:rFonts w:ascii="Times New Roman" w:hAnsi="Times New Roman" w:cs="Times New Roman"/>
          <w:sz w:val="24"/>
          <w:szCs w:val="24"/>
        </w:rPr>
      </w:pPr>
    </w:p>
    <w:p w14:paraId="7DB7593B" w14:textId="77777777" w:rsidR="00BE05C6" w:rsidRDefault="00BE05C6">
      <w:pPr>
        <w:spacing w:after="0" w:line="360" w:lineRule="auto"/>
        <w:jc w:val="both"/>
        <w:rPr>
          <w:rFonts w:ascii="Times New Roman" w:hAnsi="Times New Roman" w:cs="Times New Roman"/>
          <w:sz w:val="24"/>
          <w:szCs w:val="24"/>
        </w:rPr>
      </w:pPr>
    </w:p>
    <w:p w14:paraId="7DB7593C" w14:textId="77777777" w:rsidR="00BE05C6" w:rsidRDefault="00BE05C6">
      <w:pPr>
        <w:spacing w:after="0" w:line="360" w:lineRule="auto"/>
        <w:jc w:val="both"/>
        <w:rPr>
          <w:rFonts w:ascii="Times New Roman" w:hAnsi="Times New Roman" w:cs="Times New Roman"/>
          <w:sz w:val="24"/>
          <w:szCs w:val="24"/>
        </w:rPr>
      </w:pPr>
    </w:p>
    <w:p w14:paraId="7DB7593D" w14:textId="77777777" w:rsidR="00BE05C6" w:rsidRDefault="00BE05C6">
      <w:pPr>
        <w:spacing w:after="0" w:line="360" w:lineRule="auto"/>
        <w:jc w:val="both"/>
        <w:rPr>
          <w:rFonts w:ascii="Times New Roman" w:hAnsi="Times New Roman" w:cs="Times New Roman"/>
          <w:sz w:val="24"/>
          <w:szCs w:val="24"/>
        </w:rPr>
      </w:pPr>
    </w:p>
    <w:p w14:paraId="7DB7593E" w14:textId="77777777" w:rsidR="00BE05C6" w:rsidRDefault="00BE05C6">
      <w:pPr>
        <w:spacing w:after="0" w:line="360" w:lineRule="auto"/>
        <w:jc w:val="both"/>
        <w:rPr>
          <w:rFonts w:ascii="Times New Roman" w:hAnsi="Times New Roman" w:cs="Times New Roman"/>
          <w:sz w:val="24"/>
          <w:szCs w:val="24"/>
        </w:rPr>
      </w:pPr>
    </w:p>
    <w:p w14:paraId="7DB7593F" w14:textId="77777777" w:rsidR="00BE05C6" w:rsidRDefault="00BE05C6">
      <w:pPr>
        <w:spacing w:after="0" w:line="360" w:lineRule="auto"/>
        <w:jc w:val="both"/>
        <w:rPr>
          <w:rFonts w:ascii="Times New Roman" w:hAnsi="Times New Roman" w:cs="Times New Roman"/>
          <w:sz w:val="24"/>
          <w:szCs w:val="24"/>
        </w:rPr>
      </w:pPr>
    </w:p>
    <w:p w14:paraId="7DB75940" w14:textId="77777777" w:rsidR="00BE05C6" w:rsidRDefault="00BE05C6">
      <w:pPr>
        <w:spacing w:after="0" w:line="360" w:lineRule="auto"/>
        <w:jc w:val="both"/>
        <w:rPr>
          <w:rFonts w:ascii="Times New Roman" w:hAnsi="Times New Roman" w:cs="Times New Roman"/>
          <w:sz w:val="24"/>
          <w:szCs w:val="24"/>
        </w:rPr>
      </w:pPr>
    </w:p>
    <w:p w14:paraId="7DB75941" w14:textId="77777777" w:rsidR="00BE05C6" w:rsidRDefault="00BE05C6">
      <w:pPr>
        <w:spacing w:after="0" w:line="360" w:lineRule="auto"/>
        <w:jc w:val="both"/>
        <w:rPr>
          <w:rFonts w:ascii="Times New Roman" w:hAnsi="Times New Roman" w:cs="Times New Roman"/>
          <w:sz w:val="24"/>
          <w:szCs w:val="24"/>
        </w:rPr>
      </w:pPr>
    </w:p>
    <w:p w14:paraId="7DB75942" w14:textId="77777777" w:rsidR="00BE05C6" w:rsidRDefault="00BE05C6">
      <w:pPr>
        <w:spacing w:after="0" w:line="360" w:lineRule="auto"/>
        <w:jc w:val="both"/>
        <w:rPr>
          <w:rFonts w:ascii="Times New Roman" w:hAnsi="Times New Roman" w:cs="Times New Roman"/>
          <w:sz w:val="24"/>
          <w:szCs w:val="24"/>
        </w:rPr>
      </w:pPr>
    </w:p>
    <w:p w14:paraId="7DB75943" w14:textId="77777777" w:rsidR="00BE05C6" w:rsidRDefault="00BE05C6">
      <w:pPr>
        <w:spacing w:after="0" w:line="360" w:lineRule="auto"/>
        <w:jc w:val="both"/>
        <w:rPr>
          <w:rFonts w:ascii="Times New Roman" w:hAnsi="Times New Roman" w:cs="Times New Roman"/>
          <w:sz w:val="24"/>
          <w:szCs w:val="24"/>
        </w:rPr>
      </w:pPr>
    </w:p>
    <w:p w14:paraId="7DB75944" w14:textId="77777777" w:rsidR="00BE05C6" w:rsidRDefault="00BE05C6">
      <w:pPr>
        <w:spacing w:after="0" w:line="360" w:lineRule="auto"/>
        <w:jc w:val="both"/>
        <w:rPr>
          <w:rFonts w:ascii="Times New Roman" w:hAnsi="Times New Roman" w:cs="Times New Roman"/>
          <w:sz w:val="24"/>
          <w:szCs w:val="24"/>
        </w:rPr>
      </w:pPr>
    </w:p>
    <w:p w14:paraId="7DB75945" w14:textId="77777777" w:rsidR="00BE05C6" w:rsidRDefault="00BE05C6">
      <w:pPr>
        <w:spacing w:after="0" w:line="360" w:lineRule="auto"/>
        <w:jc w:val="both"/>
        <w:rPr>
          <w:rFonts w:ascii="Times New Roman" w:hAnsi="Times New Roman" w:cs="Times New Roman"/>
          <w:sz w:val="24"/>
          <w:szCs w:val="24"/>
        </w:rPr>
      </w:pPr>
    </w:p>
    <w:p w14:paraId="7DB75946" w14:textId="77777777" w:rsidR="00BE05C6" w:rsidRDefault="00BE05C6">
      <w:pPr>
        <w:spacing w:after="0" w:line="360" w:lineRule="auto"/>
        <w:jc w:val="both"/>
        <w:rPr>
          <w:rFonts w:ascii="Times New Roman" w:hAnsi="Times New Roman" w:cs="Times New Roman"/>
          <w:sz w:val="24"/>
          <w:szCs w:val="24"/>
        </w:rPr>
      </w:pPr>
    </w:p>
    <w:p w14:paraId="7DB75947"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DJELATNOST UPRAVLJANJA GROBLJIMA</w:t>
      </w:r>
    </w:p>
    <w:p w14:paraId="7DB75948" w14:textId="77777777" w:rsidR="00BE05C6" w:rsidRDefault="00BE05C6">
      <w:pPr>
        <w:spacing w:after="0" w:line="360" w:lineRule="auto"/>
        <w:jc w:val="both"/>
        <w:rPr>
          <w:rFonts w:ascii="Times New Roman" w:hAnsi="Times New Roman" w:cs="Times New Roman"/>
          <w:sz w:val="24"/>
          <w:szCs w:val="24"/>
        </w:rPr>
      </w:pPr>
    </w:p>
    <w:p w14:paraId="7DB75949"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Druga glavna djelatnost društva je upravljanje grobljima. Društvo upravlja s četiri groblja na području Općine Promina. Društvo od operativnih poslova na grobljima obavlja redovno održavanje zelenih površina, te prikupljanje i odvoz otpada iz postavljenih spremnika. Spremnici su postavljeni na svim grobljima i to u svrhu odvojenog prikupljanja otpada: posebni spremnici za lijevane lampione i lampione s termo uloškom, posebni spremnici za elektronske lampione, spremnici za plastične posude u kojima su cvjetni aranžmani te spremnici za uvenule cvjetne aranžmane.</w:t>
      </w:r>
    </w:p>
    <w:p w14:paraId="7DB7594A" w14:textId="77777777" w:rsidR="00BE05C6" w:rsidRDefault="00BE05C6">
      <w:pPr>
        <w:spacing w:after="0" w:line="360" w:lineRule="auto"/>
        <w:jc w:val="both"/>
        <w:rPr>
          <w:rFonts w:ascii="Times New Roman" w:hAnsi="Times New Roman" w:cs="Times New Roman"/>
          <w:sz w:val="24"/>
          <w:szCs w:val="24"/>
        </w:rPr>
      </w:pPr>
    </w:p>
    <w:p w14:paraId="7DB7594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Za vođenje grobnog očevidnika društvo koristi program Memento koji je proizvod tvrtke Axiom d.o.o. iz Čakovca. U sklopu grobnog očevidnika društvo vodi evidenciju korisnika grobnih mjesta te registar umrlih osoba.</w:t>
      </w:r>
    </w:p>
    <w:p w14:paraId="7DB7594C" w14:textId="77777777" w:rsidR="00BE05C6" w:rsidRDefault="00BE05C6">
      <w:pPr>
        <w:spacing w:after="0" w:line="360" w:lineRule="auto"/>
        <w:jc w:val="both"/>
        <w:rPr>
          <w:rFonts w:ascii="Times New Roman" w:hAnsi="Times New Roman" w:cs="Times New Roman"/>
          <w:sz w:val="24"/>
          <w:szCs w:val="24"/>
        </w:rPr>
      </w:pPr>
    </w:p>
    <w:p w14:paraId="7DB7594D"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grobnom očevidniku su zavedena 243 grobna mjesta bez izdanih rješenja o korištenju grobnog mjesta na neodređeno i 1028 grobna mjesta s izdanim rješenjem o korištenju grobnog mjesta na neodređeno.</w:t>
      </w:r>
    </w:p>
    <w:p w14:paraId="7DB7594E" w14:textId="77777777" w:rsidR="00BE05C6" w:rsidRDefault="00BE05C6">
      <w:pPr>
        <w:spacing w:after="0" w:line="360" w:lineRule="auto"/>
        <w:jc w:val="both"/>
        <w:rPr>
          <w:rFonts w:ascii="Times New Roman" w:hAnsi="Times New Roman" w:cs="Times New Roman"/>
          <w:sz w:val="24"/>
          <w:szCs w:val="24"/>
        </w:rPr>
      </w:pPr>
    </w:p>
    <w:p w14:paraId="7DB7594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društvo je izdalo 11 suglasnosti za izvođenje radova na grobljima.</w:t>
      </w:r>
    </w:p>
    <w:p w14:paraId="7DB75950" w14:textId="77777777" w:rsidR="00BE05C6" w:rsidRDefault="00BE05C6">
      <w:pPr>
        <w:spacing w:after="0" w:line="360" w:lineRule="auto"/>
        <w:jc w:val="both"/>
        <w:rPr>
          <w:rFonts w:ascii="Times New Roman" w:hAnsi="Times New Roman" w:cs="Times New Roman"/>
          <w:sz w:val="24"/>
          <w:szCs w:val="24"/>
        </w:rPr>
      </w:pPr>
    </w:p>
    <w:p w14:paraId="7DB7595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društvo je oglasilo jedno grobno mjesto za dodjelu na neodređeno vrijeme te se prema njemu i dodijelilo.</w:t>
      </w:r>
    </w:p>
    <w:p w14:paraId="7DB75952" w14:textId="77777777" w:rsidR="00BE05C6" w:rsidRDefault="00BE05C6">
      <w:pPr>
        <w:spacing w:after="0" w:line="360" w:lineRule="auto"/>
        <w:jc w:val="both"/>
        <w:rPr>
          <w:rFonts w:ascii="Times New Roman" w:hAnsi="Times New Roman" w:cs="Times New Roman"/>
          <w:sz w:val="24"/>
          <w:szCs w:val="24"/>
        </w:rPr>
      </w:pPr>
    </w:p>
    <w:p w14:paraId="7DB7595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društvo je upisalo 40 umrlih osoba u registar umrlih.</w:t>
      </w:r>
    </w:p>
    <w:p w14:paraId="7DB75954" w14:textId="77777777" w:rsidR="00BE05C6" w:rsidRDefault="00BE05C6">
      <w:pPr>
        <w:spacing w:after="0" w:line="360" w:lineRule="auto"/>
        <w:jc w:val="both"/>
        <w:rPr>
          <w:rFonts w:ascii="Times New Roman" w:hAnsi="Times New Roman" w:cs="Times New Roman"/>
          <w:sz w:val="24"/>
          <w:szCs w:val="24"/>
        </w:rPr>
      </w:pPr>
    </w:p>
    <w:p w14:paraId="7DB75955" w14:textId="77777777" w:rsidR="00BE05C6" w:rsidRDefault="00BE05C6">
      <w:pPr>
        <w:spacing w:after="0" w:line="360" w:lineRule="auto"/>
        <w:jc w:val="both"/>
        <w:rPr>
          <w:rFonts w:ascii="Times New Roman" w:hAnsi="Times New Roman" w:cs="Times New Roman"/>
          <w:sz w:val="24"/>
          <w:szCs w:val="24"/>
        </w:rPr>
      </w:pPr>
    </w:p>
    <w:p w14:paraId="7DB75956" w14:textId="77777777" w:rsidR="00BE05C6" w:rsidRDefault="00BE05C6">
      <w:pPr>
        <w:spacing w:after="0" w:line="360" w:lineRule="auto"/>
        <w:jc w:val="both"/>
        <w:rPr>
          <w:rFonts w:ascii="Times New Roman" w:hAnsi="Times New Roman" w:cs="Times New Roman"/>
          <w:sz w:val="24"/>
          <w:szCs w:val="24"/>
        </w:rPr>
      </w:pPr>
    </w:p>
    <w:p w14:paraId="7DB75957" w14:textId="77777777" w:rsidR="00BE05C6" w:rsidRDefault="00BE05C6">
      <w:pPr>
        <w:spacing w:after="0" w:line="360" w:lineRule="auto"/>
        <w:jc w:val="both"/>
        <w:rPr>
          <w:rFonts w:ascii="Times New Roman" w:hAnsi="Times New Roman" w:cs="Times New Roman"/>
          <w:sz w:val="24"/>
          <w:szCs w:val="24"/>
        </w:rPr>
      </w:pPr>
    </w:p>
    <w:p w14:paraId="7DB75958" w14:textId="77777777" w:rsidR="00BE05C6" w:rsidRDefault="00BE05C6">
      <w:pPr>
        <w:spacing w:after="0" w:line="360" w:lineRule="auto"/>
        <w:jc w:val="both"/>
        <w:rPr>
          <w:rFonts w:ascii="Times New Roman" w:hAnsi="Times New Roman" w:cs="Times New Roman"/>
          <w:sz w:val="24"/>
          <w:szCs w:val="24"/>
        </w:rPr>
      </w:pPr>
    </w:p>
    <w:p w14:paraId="7DB75959" w14:textId="77777777" w:rsidR="00BE05C6" w:rsidRDefault="00BE05C6">
      <w:pPr>
        <w:spacing w:after="0" w:line="360" w:lineRule="auto"/>
        <w:jc w:val="both"/>
        <w:rPr>
          <w:rFonts w:ascii="Times New Roman" w:hAnsi="Times New Roman" w:cs="Times New Roman"/>
          <w:sz w:val="24"/>
          <w:szCs w:val="24"/>
        </w:rPr>
      </w:pPr>
    </w:p>
    <w:p w14:paraId="7DB7595A" w14:textId="77777777" w:rsidR="00BE05C6" w:rsidRDefault="00BE05C6">
      <w:pPr>
        <w:spacing w:after="0" w:line="360" w:lineRule="auto"/>
        <w:jc w:val="both"/>
        <w:rPr>
          <w:rFonts w:ascii="Times New Roman" w:hAnsi="Times New Roman" w:cs="Times New Roman"/>
          <w:sz w:val="24"/>
          <w:szCs w:val="24"/>
        </w:rPr>
      </w:pPr>
    </w:p>
    <w:p w14:paraId="7DB7595B" w14:textId="77777777" w:rsidR="00BE05C6" w:rsidRDefault="00BE05C6">
      <w:pPr>
        <w:spacing w:after="0" w:line="360" w:lineRule="auto"/>
        <w:jc w:val="both"/>
        <w:rPr>
          <w:rFonts w:ascii="Times New Roman" w:hAnsi="Times New Roman" w:cs="Times New Roman"/>
          <w:sz w:val="24"/>
          <w:szCs w:val="24"/>
        </w:rPr>
      </w:pPr>
    </w:p>
    <w:p w14:paraId="7DB7595C" w14:textId="77777777" w:rsidR="00BE05C6" w:rsidRDefault="00BE05C6">
      <w:pPr>
        <w:spacing w:after="0" w:line="360" w:lineRule="auto"/>
        <w:jc w:val="both"/>
        <w:rPr>
          <w:rFonts w:ascii="Times New Roman" w:hAnsi="Times New Roman" w:cs="Times New Roman"/>
          <w:sz w:val="24"/>
          <w:szCs w:val="24"/>
        </w:rPr>
      </w:pPr>
    </w:p>
    <w:p w14:paraId="7DB7595D" w14:textId="77777777" w:rsidR="00BE05C6" w:rsidRDefault="00000000">
      <w:pPr>
        <w:pStyle w:val="Naslov1"/>
        <w:shd w:val="clear" w:color="auto" w:fill="FFFFFF"/>
        <w:spacing w:before="0" w:line="360" w:lineRule="auto"/>
        <w:jc w:val="both"/>
        <w:rPr>
          <w:rFonts w:ascii="Times New Roman" w:hAnsi="Times New Roman" w:cs="Times New Roman"/>
          <w:color w:val="auto"/>
          <w:spacing w:val="-14"/>
          <w:sz w:val="24"/>
          <w:szCs w:val="24"/>
        </w:rPr>
      </w:pPr>
      <w:r>
        <w:rPr>
          <w:rFonts w:ascii="Times New Roman" w:hAnsi="Times New Roman" w:cs="Times New Roman"/>
          <w:color w:val="auto"/>
          <w:sz w:val="24"/>
          <w:szCs w:val="24"/>
        </w:rPr>
        <w:lastRenderedPageBreak/>
        <w:t xml:space="preserve">DJELATNOST </w:t>
      </w:r>
      <w:r>
        <w:rPr>
          <w:rFonts w:ascii="Times New Roman" w:hAnsi="Times New Roman" w:cs="Times New Roman"/>
          <w:color w:val="auto"/>
          <w:spacing w:val="-14"/>
          <w:sz w:val="24"/>
          <w:szCs w:val="24"/>
        </w:rPr>
        <w:t>ODRŽAVANJA KOMUNALNE INFRASTRUKTURE</w:t>
      </w:r>
    </w:p>
    <w:p w14:paraId="7DB7595E" w14:textId="77777777" w:rsidR="00BE05C6" w:rsidRDefault="00BE05C6"/>
    <w:p w14:paraId="7DB7595F" w14:textId="77777777" w:rsidR="00BE05C6" w:rsidRDefault="00000000">
      <w:pPr>
        <w:pStyle w:val="StandardWeb"/>
        <w:shd w:val="clear" w:color="auto" w:fill="FFFFFF"/>
        <w:spacing w:before="0" w:beforeAutospacing="0" w:after="0" w:afterAutospacing="0" w:line="360" w:lineRule="auto"/>
        <w:rPr>
          <w:lang w:val="hr-HR"/>
        </w:rPr>
      </w:pPr>
      <w:r>
        <w:rPr>
          <w:lang w:val="hr-HR"/>
        </w:rPr>
        <w:t>Komunalne djelatnosti kojima društvo EKO Promina d.o.o. osigurava održavanje komunalne infrastrukture su:</w:t>
      </w:r>
    </w:p>
    <w:p w14:paraId="7DB75960" w14:textId="77777777" w:rsidR="00BE05C6" w:rsidRDefault="00000000">
      <w:pPr>
        <w:numPr>
          <w:ilvl w:val="0"/>
          <w:numId w:val="3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održavanje javnih površina na kojima nije dopušten promet motornim vozilima</w:t>
      </w:r>
    </w:p>
    <w:p w14:paraId="7DB75961" w14:textId="77777777" w:rsidR="00BE05C6" w:rsidRDefault="00000000">
      <w:pPr>
        <w:numPr>
          <w:ilvl w:val="0"/>
          <w:numId w:val="3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održavanje javnih zelenih površina</w:t>
      </w:r>
    </w:p>
    <w:p w14:paraId="7DB75962" w14:textId="77777777" w:rsidR="00BE05C6" w:rsidRDefault="00000000">
      <w:pPr>
        <w:numPr>
          <w:ilvl w:val="0"/>
          <w:numId w:val="3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održavanje građevina, uređaja i predmeta javne namjene</w:t>
      </w:r>
    </w:p>
    <w:p w14:paraId="7DB75963" w14:textId="77777777" w:rsidR="00BE05C6" w:rsidRDefault="00000000">
      <w:pPr>
        <w:numPr>
          <w:ilvl w:val="0"/>
          <w:numId w:val="3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održavanje groblja i krematorija unutar groblja</w:t>
      </w:r>
    </w:p>
    <w:p w14:paraId="7DB75964" w14:textId="77777777" w:rsidR="00BE05C6" w:rsidRDefault="00000000">
      <w:pPr>
        <w:numPr>
          <w:ilvl w:val="0"/>
          <w:numId w:val="34"/>
        </w:num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održavanje čistoće javnih površina</w:t>
      </w:r>
    </w:p>
    <w:p w14:paraId="7DB75965" w14:textId="77777777" w:rsidR="00BE05C6" w:rsidRDefault="00BE05C6">
      <w:pPr>
        <w:pStyle w:val="StandardWeb"/>
        <w:shd w:val="clear" w:color="auto" w:fill="FFFFFF"/>
        <w:spacing w:before="0" w:beforeAutospacing="0" w:after="0" w:afterAutospacing="0" w:line="360" w:lineRule="auto"/>
        <w:rPr>
          <w:lang w:val="hr-HR"/>
        </w:rPr>
      </w:pPr>
    </w:p>
    <w:p w14:paraId="7DB75966" w14:textId="77777777" w:rsidR="00BE05C6" w:rsidRDefault="00000000">
      <w:pPr>
        <w:pStyle w:val="StandardWeb"/>
        <w:shd w:val="clear" w:color="auto" w:fill="FFFFFF"/>
        <w:spacing w:before="0" w:beforeAutospacing="0" w:after="0" w:afterAutospacing="0" w:line="360" w:lineRule="auto"/>
        <w:rPr>
          <w:lang w:val="hr-HR"/>
        </w:rPr>
      </w:pPr>
      <w:r>
        <w:rPr>
          <w:lang w:val="hr-HR"/>
        </w:rPr>
        <w:t>Pod održavanjem javnih površina na kojima nije dopušten promet motornih vozila podrazumijeva se održavanje i popravci tih površina kojima se osigurava njihova funkcionalna ispravnost.</w:t>
      </w:r>
    </w:p>
    <w:p w14:paraId="7DB75967" w14:textId="77777777" w:rsidR="00BE05C6" w:rsidRDefault="00000000">
      <w:pPr>
        <w:pStyle w:val="StandardWeb"/>
        <w:shd w:val="clear" w:color="auto" w:fill="FFFFFF"/>
        <w:spacing w:before="0" w:beforeAutospacing="0" w:after="0" w:afterAutospacing="0" w:line="360" w:lineRule="auto"/>
        <w:rPr>
          <w:lang w:val="hr-HR"/>
        </w:rPr>
      </w:pPr>
      <w:r>
        <w:rPr>
          <w:lang w:val="hr-HR"/>
        </w:rPr>
        <w:t>Pod održavanjem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14:paraId="7DB75968" w14:textId="77777777" w:rsidR="00BE05C6" w:rsidRDefault="00000000">
      <w:pPr>
        <w:pStyle w:val="StandardWeb"/>
        <w:shd w:val="clear" w:color="auto" w:fill="FFFFFF"/>
        <w:spacing w:before="0" w:beforeAutospacing="0" w:after="0" w:afterAutospacing="0" w:line="360" w:lineRule="auto"/>
        <w:rPr>
          <w:lang w:val="hr-HR"/>
        </w:rPr>
      </w:pPr>
      <w:r>
        <w:rPr>
          <w:lang w:val="hr-HR"/>
        </w:rPr>
        <w:t>Pod održavanjem građevina i uređaja javne namjene podrazumijeva se održavanje, popravci i čišćenje tih građevina, uređaja i predmeta.</w:t>
      </w:r>
    </w:p>
    <w:p w14:paraId="7DB75969" w14:textId="77777777" w:rsidR="00BE05C6" w:rsidRDefault="00000000">
      <w:pPr>
        <w:pStyle w:val="StandardWeb"/>
        <w:shd w:val="clear" w:color="auto" w:fill="FFFFFF"/>
        <w:spacing w:before="0" w:beforeAutospacing="0" w:after="0" w:afterAutospacing="0" w:line="360" w:lineRule="auto"/>
        <w:rPr>
          <w:lang w:val="hr-HR"/>
        </w:rPr>
      </w:pPr>
      <w:r>
        <w:rPr>
          <w:lang w:val="hr-HR"/>
        </w:rPr>
        <w:t>Pod održavanjem groblja i krematorija unutar groblja podrazumijeva se održavanje prostora i zgrada za obavljanje ispraćaja i ukopa pokojnika te uređivanje putova, zelenih i drugih površina unutar groblja.</w:t>
      </w:r>
      <w:r>
        <w:rPr>
          <w:lang w:val="hr-HR"/>
        </w:rPr>
        <w:br/>
      </w:r>
      <w:r>
        <w:rPr>
          <w:lang w:val="hr-HR"/>
        </w:rPr>
        <w:br/>
        <w:t>Pod održavanjem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14:paraId="7DB7596A" w14:textId="77777777" w:rsidR="00BE05C6" w:rsidRDefault="00BE05C6">
      <w:pPr>
        <w:spacing w:after="0" w:line="360" w:lineRule="auto"/>
        <w:jc w:val="both"/>
        <w:rPr>
          <w:rFonts w:ascii="Times New Roman" w:hAnsi="Times New Roman" w:cs="Times New Roman"/>
          <w:sz w:val="24"/>
          <w:szCs w:val="24"/>
        </w:rPr>
      </w:pPr>
    </w:p>
    <w:p w14:paraId="7DB7596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Održavanje javnih zelenih površina u Općini Promina se u 2023. godini odradilo sukladno Planu održavanja javnih zelenih površina u Općini Promina u 2023. godini.</w:t>
      </w:r>
    </w:p>
    <w:p w14:paraId="7DB7596C" w14:textId="77777777" w:rsidR="00BE05C6" w:rsidRDefault="00BE05C6">
      <w:pPr>
        <w:spacing w:after="0" w:line="360" w:lineRule="auto"/>
        <w:jc w:val="both"/>
        <w:rPr>
          <w:rFonts w:ascii="Times New Roman" w:hAnsi="Times New Roman" w:cs="Times New Roman"/>
          <w:sz w:val="24"/>
          <w:szCs w:val="24"/>
        </w:rPr>
      </w:pPr>
    </w:p>
    <w:p w14:paraId="1F5C2182" w14:textId="77777777" w:rsidR="00072FB5" w:rsidRDefault="00072FB5">
      <w:pPr>
        <w:spacing w:after="0" w:line="360" w:lineRule="auto"/>
        <w:jc w:val="both"/>
        <w:rPr>
          <w:rFonts w:ascii="Times New Roman" w:hAnsi="Times New Roman" w:cs="Times New Roman"/>
          <w:sz w:val="24"/>
          <w:szCs w:val="24"/>
        </w:rPr>
      </w:pPr>
    </w:p>
    <w:p w14:paraId="7DB7596E" w14:textId="3912BFFD" w:rsidR="00BE05C6" w:rsidRDefault="0000000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Upravljanje Domom kulture u Mratovu</w:t>
      </w:r>
    </w:p>
    <w:p w14:paraId="7DB7596F" w14:textId="77777777" w:rsidR="00BE05C6" w:rsidRDefault="00BE05C6">
      <w:pPr>
        <w:spacing w:after="0" w:line="360" w:lineRule="auto"/>
        <w:jc w:val="both"/>
        <w:rPr>
          <w:rFonts w:ascii="Times New Roman" w:hAnsi="Times New Roman" w:cs="Times New Roman"/>
          <w:sz w:val="24"/>
          <w:szCs w:val="24"/>
        </w:rPr>
      </w:pPr>
    </w:p>
    <w:p w14:paraId="7DB75970"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Vezano za Dom kulture u Mratovu, osim održavanja javne zelene površine oko njega, nije bilo drugih aktivnosti.</w:t>
      </w:r>
    </w:p>
    <w:p w14:paraId="7DB75971" w14:textId="77777777" w:rsidR="00BE05C6" w:rsidRDefault="00BE05C6">
      <w:pPr>
        <w:spacing w:after="0" w:line="360" w:lineRule="auto"/>
        <w:jc w:val="both"/>
        <w:rPr>
          <w:rFonts w:ascii="Times New Roman" w:hAnsi="Times New Roman" w:cs="Times New Roman"/>
          <w:sz w:val="24"/>
          <w:szCs w:val="24"/>
        </w:rPr>
      </w:pPr>
    </w:p>
    <w:p w14:paraId="7DB75972" w14:textId="77777777" w:rsidR="00BE05C6" w:rsidRDefault="0000000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Upravljanje mrtvačnicom u Oklaju</w:t>
      </w:r>
    </w:p>
    <w:p w14:paraId="7DB75973" w14:textId="77777777" w:rsidR="00BE05C6" w:rsidRDefault="00BE05C6">
      <w:pPr>
        <w:spacing w:after="0" w:line="360" w:lineRule="auto"/>
        <w:jc w:val="both"/>
        <w:rPr>
          <w:rFonts w:ascii="Times New Roman" w:hAnsi="Times New Roman" w:cs="Times New Roman"/>
          <w:sz w:val="24"/>
          <w:szCs w:val="24"/>
        </w:rPr>
      </w:pPr>
    </w:p>
    <w:p w14:paraId="7DB75974"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Vezano za mrtvačnicu u Oklaju odvijale su se sljedeće aktivnosti: dva puta mjesečno čišćenje unutarnjeg prostora mrtvačnice te održavanje javne zelene površine oko mrtvačnice, u zimskom i jesenskom periodu jedanput mjesečno dok u ljetnom i proljetnom periodu dva puta mjesečno. </w:t>
      </w:r>
    </w:p>
    <w:p w14:paraId="7DB75975" w14:textId="77777777" w:rsidR="00BE05C6" w:rsidRDefault="00BE05C6">
      <w:pPr>
        <w:spacing w:after="0" w:line="360" w:lineRule="auto"/>
        <w:jc w:val="both"/>
        <w:rPr>
          <w:rFonts w:ascii="Times New Roman" w:hAnsi="Times New Roman" w:cs="Times New Roman"/>
          <w:sz w:val="24"/>
          <w:szCs w:val="24"/>
        </w:rPr>
      </w:pPr>
    </w:p>
    <w:p w14:paraId="7DB7597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OPĆI ZAKONI I POZAKONSKI AKTI NADLEŽNI ZA RAD TIJELA JAVNE VLASTI:</w:t>
      </w:r>
    </w:p>
    <w:p w14:paraId="7DB75977" w14:textId="77777777" w:rsidR="00BE05C6" w:rsidRDefault="00BE05C6">
      <w:pPr>
        <w:spacing w:after="0" w:line="360" w:lineRule="auto"/>
        <w:jc w:val="both"/>
        <w:rPr>
          <w:rFonts w:ascii="Times New Roman" w:hAnsi="Times New Roman" w:cs="Times New Roman"/>
          <w:sz w:val="24"/>
          <w:szCs w:val="24"/>
        </w:rPr>
      </w:pPr>
    </w:p>
    <w:p w14:paraId="7DB7597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Kako je tijelo javne vlasti prema članku 10. Zakona o pravu na pristup informacijama (NN 25/13, 85/15 i 69/22) obavezno na svojoj internetskoj stranici proaktivno objavljivati informacije izrađena je internetska stranica društva početkom 2021. godine na adresi: </w:t>
      </w:r>
      <w:hyperlink r:id="rId8" w:history="1">
        <w:r>
          <w:rPr>
            <w:rStyle w:val="Hiperveza"/>
            <w:rFonts w:ascii="Times New Roman" w:hAnsi="Times New Roman" w:cs="Times New Roman"/>
            <w:color w:val="auto"/>
            <w:sz w:val="24"/>
            <w:szCs w:val="24"/>
          </w:rPr>
          <w:t>www.eko-promina.hr</w:t>
        </w:r>
      </w:hyperlink>
      <w:r>
        <w:rPr>
          <w:rFonts w:ascii="Times New Roman" w:hAnsi="Times New Roman" w:cs="Times New Roman"/>
          <w:sz w:val="24"/>
          <w:szCs w:val="24"/>
        </w:rPr>
        <w:t xml:space="preserve"> za što su utrošena određena sredstva. I dalje se izdvajaju određena sredstva za njeno održavanje. Takva sredstva se u prošlosti društva nisu izdvajala jer nije bila izrađena internetska stranica. Za potrebe ažuriranja i objavu informacija na internetskoj stranici imenovana je zaposlenica, direktorica, Barbara Nakić-Alfirević.</w:t>
      </w:r>
    </w:p>
    <w:p w14:paraId="7DB75979" w14:textId="77777777" w:rsidR="00BE05C6" w:rsidRDefault="00BE05C6">
      <w:pPr>
        <w:spacing w:after="0" w:line="360" w:lineRule="auto"/>
        <w:jc w:val="both"/>
        <w:rPr>
          <w:rFonts w:ascii="Times New Roman" w:hAnsi="Times New Roman" w:cs="Times New Roman"/>
          <w:sz w:val="24"/>
          <w:szCs w:val="24"/>
        </w:rPr>
      </w:pPr>
    </w:p>
    <w:p w14:paraId="7DB7597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izrađeni su sljedeći opći akti i odluke:</w:t>
      </w:r>
    </w:p>
    <w:p w14:paraId="7DB7597B"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Godišnji plan rada povjerenika za etiku za 2024. godinu</w:t>
      </w:r>
    </w:p>
    <w:p w14:paraId="7DB7597C"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edukacije zaposlenika u 2024. godini</w:t>
      </w:r>
    </w:p>
    <w:p w14:paraId="7DB7597D"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edukacije zaposlenika u 2024. godini iz područja borbe protiv korupcije te područja etike u poduzetništvu</w:t>
      </w:r>
    </w:p>
    <w:p w14:paraId="7DB7597E"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Kalendar važnih događaja koji se očekuju u 2024. godini</w:t>
      </w:r>
    </w:p>
    <w:p w14:paraId="7DB7597F"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klasifikacijskih oznaka i brojčanih oznaka pismena u društvu EKO PROMINA d.o.o. za 2024. godinu</w:t>
      </w:r>
    </w:p>
    <w:p w14:paraId="7DB75980"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savjetovanja s javnošću za 2024. godinu</w:t>
      </w:r>
    </w:p>
    <w:p w14:paraId="7DB75981"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Godišnji plan rada službenika za informiranje za 2024. godinu</w:t>
      </w:r>
    </w:p>
    <w:p w14:paraId="7DB75982"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nabave za 2024. godinu</w:t>
      </w:r>
    </w:p>
    <w:p w14:paraId="7DB75983"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Registar ugovora za 2023. godinu</w:t>
      </w:r>
    </w:p>
    <w:p w14:paraId="7DB75984" w14:textId="77777777" w:rsidR="00BE05C6" w:rsidRDefault="00000000">
      <w:pPr>
        <w:pStyle w:val="Odlomakpopis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Pravilnik o uredskom poslovanju društva EKO Promina d.o.o.</w:t>
      </w:r>
    </w:p>
    <w:p w14:paraId="7DB75985" w14:textId="77777777" w:rsidR="00BE05C6" w:rsidRDefault="00BE05C6">
      <w:pPr>
        <w:spacing w:after="0" w:line="360" w:lineRule="auto"/>
        <w:jc w:val="both"/>
        <w:rPr>
          <w:rFonts w:ascii="Times New Roman" w:hAnsi="Times New Roman" w:cs="Times New Roman"/>
          <w:sz w:val="24"/>
          <w:szCs w:val="24"/>
        </w:rPr>
      </w:pPr>
    </w:p>
    <w:p w14:paraId="7DB7598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2021. godini uvedena je mogućnost slanja računa u elektroničkom obliku, uz uvjet da korisnici potpišu suglasnost za prihvat računa u elektroničkom obliku. Do kraja 2023. godine društvo je zaprimilo 100 potpisanih suglasnosti za prihvat računa u elektroničkom obliku.</w:t>
      </w:r>
    </w:p>
    <w:p w14:paraId="7DB75987" w14:textId="77777777" w:rsidR="00BE05C6" w:rsidRDefault="00BE05C6">
      <w:pPr>
        <w:spacing w:after="0" w:line="360" w:lineRule="auto"/>
        <w:jc w:val="both"/>
        <w:rPr>
          <w:rFonts w:ascii="Times New Roman" w:hAnsi="Times New Roman" w:cs="Times New Roman"/>
          <w:sz w:val="24"/>
          <w:szCs w:val="24"/>
        </w:rPr>
      </w:pPr>
    </w:p>
    <w:p w14:paraId="7DB7598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društvo je primilo 4 prigovora i/ili reklamacija. Na sva 4 prigovora i/ili reklamacija društvo je odgovorilo u, Zakonom o zaštiti potrošača, propisanom roku od 15 dana od primitka prigovora. U tablici 7. dan je prikaz broja primljenih prigovora i/ili reklamacija u posljednje 3 godine.</w:t>
      </w:r>
    </w:p>
    <w:p w14:paraId="7DB75989" w14:textId="77777777" w:rsidR="00BE05C6" w:rsidRDefault="00BE05C6">
      <w:pPr>
        <w:spacing w:after="0" w:line="360" w:lineRule="auto"/>
        <w:jc w:val="both"/>
        <w:rPr>
          <w:rFonts w:ascii="Times New Roman" w:hAnsi="Times New Roman" w:cs="Times New Roman"/>
          <w:sz w:val="24"/>
          <w:szCs w:val="24"/>
        </w:rPr>
      </w:pPr>
    </w:p>
    <w:p w14:paraId="7DB7598A" w14:textId="77777777" w:rsidR="00BE05C6" w:rsidRDefault="00000000">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Tablica 7. Prikaz broja primljenih prigovora i/ili reklamacija u 2023. godini</w:t>
      </w:r>
    </w:p>
    <w:tbl>
      <w:tblPr>
        <w:tblStyle w:val="Reetkatablice"/>
        <w:tblW w:w="0" w:type="auto"/>
        <w:jc w:val="center"/>
        <w:tblLook w:val="04A0" w:firstRow="1" w:lastRow="0" w:firstColumn="1" w:lastColumn="0" w:noHBand="0" w:noVBand="1"/>
      </w:tblPr>
      <w:tblGrid>
        <w:gridCol w:w="2509"/>
        <w:gridCol w:w="2352"/>
        <w:gridCol w:w="2131"/>
        <w:gridCol w:w="2352"/>
      </w:tblGrid>
      <w:tr w:rsidR="00BE05C6" w14:paraId="7DB7598F" w14:textId="77777777">
        <w:trPr>
          <w:jc w:val="center"/>
        </w:trPr>
        <w:tc>
          <w:tcPr>
            <w:tcW w:w="2509" w:type="dxa"/>
            <w:vAlign w:val="center"/>
          </w:tcPr>
          <w:p w14:paraId="7DB7598B"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Godina</w:t>
            </w:r>
          </w:p>
        </w:tc>
        <w:tc>
          <w:tcPr>
            <w:tcW w:w="2352" w:type="dxa"/>
            <w:vAlign w:val="center"/>
          </w:tcPr>
          <w:p w14:paraId="7DB7598C"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2021. godina</w:t>
            </w:r>
          </w:p>
        </w:tc>
        <w:tc>
          <w:tcPr>
            <w:tcW w:w="2131" w:type="dxa"/>
          </w:tcPr>
          <w:p w14:paraId="7DB7598D"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2022. godina</w:t>
            </w:r>
          </w:p>
        </w:tc>
        <w:tc>
          <w:tcPr>
            <w:tcW w:w="2352" w:type="dxa"/>
            <w:vAlign w:val="center"/>
          </w:tcPr>
          <w:p w14:paraId="7DB7598E"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2023. godina</w:t>
            </w:r>
          </w:p>
        </w:tc>
      </w:tr>
      <w:tr w:rsidR="00BE05C6" w14:paraId="7DB75994" w14:textId="77777777">
        <w:trPr>
          <w:jc w:val="center"/>
        </w:trPr>
        <w:tc>
          <w:tcPr>
            <w:tcW w:w="2509" w:type="dxa"/>
            <w:vAlign w:val="center"/>
          </w:tcPr>
          <w:p w14:paraId="7DB75990"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Broj primljenih prigovora i/ili reklamacija</w:t>
            </w:r>
          </w:p>
        </w:tc>
        <w:tc>
          <w:tcPr>
            <w:tcW w:w="2352" w:type="dxa"/>
            <w:vAlign w:val="center"/>
          </w:tcPr>
          <w:p w14:paraId="7DB75991"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20</w:t>
            </w:r>
          </w:p>
        </w:tc>
        <w:tc>
          <w:tcPr>
            <w:tcW w:w="2131" w:type="dxa"/>
            <w:vAlign w:val="center"/>
          </w:tcPr>
          <w:p w14:paraId="7DB75992"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13</w:t>
            </w:r>
          </w:p>
        </w:tc>
        <w:tc>
          <w:tcPr>
            <w:tcW w:w="2352" w:type="dxa"/>
            <w:vAlign w:val="center"/>
          </w:tcPr>
          <w:p w14:paraId="7DB75993" w14:textId="77777777" w:rsidR="00BE05C6" w:rsidRDefault="00000000">
            <w:pPr>
              <w:jc w:val="center"/>
              <w:rPr>
                <w:rFonts w:ascii="Times New Roman" w:hAnsi="Times New Roman" w:cs="Times New Roman"/>
                <w:sz w:val="24"/>
                <w:szCs w:val="24"/>
              </w:rPr>
            </w:pPr>
            <w:r>
              <w:rPr>
                <w:rFonts w:ascii="Times New Roman" w:hAnsi="Times New Roman" w:cs="Times New Roman"/>
                <w:sz w:val="24"/>
                <w:szCs w:val="24"/>
              </w:rPr>
              <w:t>4</w:t>
            </w:r>
          </w:p>
        </w:tc>
      </w:tr>
    </w:tbl>
    <w:p w14:paraId="7DB75995" w14:textId="77777777" w:rsidR="00BE05C6" w:rsidRDefault="00BE05C6">
      <w:pPr>
        <w:spacing w:after="0" w:line="360" w:lineRule="auto"/>
        <w:jc w:val="both"/>
        <w:rPr>
          <w:rFonts w:ascii="Times New Roman" w:hAnsi="Times New Roman" w:cs="Times New Roman"/>
          <w:sz w:val="24"/>
          <w:szCs w:val="24"/>
        </w:rPr>
      </w:pPr>
    </w:p>
    <w:p w14:paraId="7DB75996"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Društvo je u 2023. godini poslalo 20 opomena pravnim i fizičkim korisnicima i 20 prijedloga za ovrhu pravnim i fizičkim korisnicima.</w:t>
      </w:r>
    </w:p>
    <w:p w14:paraId="7DB75997" w14:textId="77777777" w:rsidR="00BE05C6" w:rsidRDefault="00BE05C6">
      <w:pPr>
        <w:spacing w:after="0" w:line="360" w:lineRule="auto"/>
        <w:jc w:val="both"/>
        <w:rPr>
          <w:rFonts w:ascii="Times New Roman" w:hAnsi="Times New Roman" w:cs="Times New Roman"/>
          <w:sz w:val="24"/>
          <w:szCs w:val="24"/>
        </w:rPr>
      </w:pPr>
    </w:p>
    <w:p w14:paraId="7DB7599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2023. godini obavljena je sljedeća edukacija zaposlenika:</w:t>
      </w:r>
    </w:p>
    <w:p w14:paraId="7DB75999" w14:textId="77777777" w:rsidR="00BE05C6" w:rsidRDefault="00BE05C6">
      <w:pPr>
        <w:spacing w:after="0" w:line="360" w:lineRule="auto"/>
        <w:jc w:val="both"/>
        <w:rPr>
          <w:rFonts w:ascii="Times New Roman" w:hAnsi="Times New Roman" w:cs="Times New Roman"/>
          <w:sz w:val="24"/>
          <w:szCs w:val="24"/>
        </w:rPr>
      </w:pPr>
    </w:p>
    <w:p w14:paraId="7DB7599A"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Barbara Nakić-Alfirević:</w:t>
      </w:r>
    </w:p>
    <w:p w14:paraId="7DB7599B" w14:textId="77777777" w:rsidR="00BE05C6" w:rsidRDefault="00000000">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Jednodnevni program Izmjene i dopuna Zakona o općem upravnom postupku 28. 3. 2023. godine</w:t>
      </w:r>
    </w:p>
    <w:p w14:paraId="7DB7599C" w14:textId="77777777" w:rsidR="00BE05C6" w:rsidRDefault="00000000">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Jednodnevni program Sprječavanje korupcije i antikorupcijski mehanizam u RH 15. 5. 2023. godine</w:t>
      </w:r>
    </w:p>
    <w:p w14:paraId="7DB7599D" w14:textId="77777777" w:rsidR="00BE05C6" w:rsidRDefault="00000000">
      <w:pPr>
        <w:pStyle w:val="Odlomakpopisa"/>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Godišnje savjetovanje Službenika za informiranje poslovanju 28. 9. 2023. godine i 29. 9. 2023. godine</w:t>
      </w:r>
    </w:p>
    <w:p w14:paraId="7DB7599E" w14:textId="77777777" w:rsidR="00BE05C6" w:rsidRDefault="00BE05C6">
      <w:pPr>
        <w:spacing w:after="0" w:line="360" w:lineRule="auto"/>
        <w:jc w:val="both"/>
        <w:rPr>
          <w:rFonts w:ascii="Times New Roman" w:hAnsi="Times New Roman" w:cs="Times New Roman"/>
          <w:sz w:val="24"/>
          <w:szCs w:val="24"/>
        </w:rPr>
      </w:pPr>
    </w:p>
    <w:p w14:paraId="7DB7599F"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Nenad Radas, Dražen Grgurević i Slavko Samardžija</w:t>
      </w:r>
    </w:p>
    <w:p w14:paraId="7DB759A0" w14:textId="77777777" w:rsidR="00BE05C6" w:rsidRDefault="00000000">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Razumijevanje pojmova korupcije, korumpirane osobe, nulte stope tolerancije na korupciju, integriteta i etičke infrastrukture 28. 2. 2024. godine</w:t>
      </w:r>
    </w:p>
    <w:p w14:paraId="7DB759A1" w14:textId="77777777" w:rsidR="00BE05C6" w:rsidRDefault="00BE05C6">
      <w:pPr>
        <w:spacing w:after="0" w:line="360" w:lineRule="auto"/>
        <w:jc w:val="both"/>
        <w:rPr>
          <w:rFonts w:ascii="Times New Roman" w:hAnsi="Times New Roman" w:cs="Times New Roman"/>
          <w:sz w:val="24"/>
          <w:szCs w:val="24"/>
        </w:rPr>
      </w:pPr>
    </w:p>
    <w:p w14:paraId="7DB759A2"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Nenad Radas, Dražen Grgurević i Slavko Samardžija</w:t>
      </w:r>
    </w:p>
    <w:p w14:paraId="7DB759A3" w14:textId="77777777" w:rsidR="00BE05C6" w:rsidRDefault="00000000">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Podizanje svijesti o nužnosti ponašanja prema načelima „nulte stope tolerancije“ 27. 4. 2023. godine</w:t>
      </w:r>
    </w:p>
    <w:p w14:paraId="7DB759A4" w14:textId="77777777" w:rsidR="00BE05C6" w:rsidRDefault="00BE05C6">
      <w:pPr>
        <w:spacing w:after="0" w:line="360" w:lineRule="auto"/>
        <w:jc w:val="both"/>
        <w:rPr>
          <w:rFonts w:ascii="Times New Roman" w:hAnsi="Times New Roman" w:cs="Times New Roman"/>
          <w:sz w:val="24"/>
          <w:szCs w:val="24"/>
        </w:rPr>
      </w:pPr>
    </w:p>
    <w:p w14:paraId="7DB759A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Dražen Grgurević, Slavko Samardžija, Dragan Juric i Josip Barišić</w:t>
      </w:r>
    </w:p>
    <w:p w14:paraId="7DB759A6" w14:textId="77777777" w:rsidR="00BE05C6" w:rsidRDefault="00000000">
      <w:pPr>
        <w:pStyle w:val="Odlomakpopis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Etički kodeks kao temelj stvaranja uvjeta za etički način poslovanja 15. 6. 2023. godine</w:t>
      </w:r>
    </w:p>
    <w:p w14:paraId="7DB759A7" w14:textId="77777777" w:rsidR="00BE05C6" w:rsidRDefault="00BE05C6">
      <w:pPr>
        <w:spacing w:after="0" w:line="360" w:lineRule="auto"/>
        <w:jc w:val="both"/>
        <w:rPr>
          <w:rFonts w:ascii="Times New Roman" w:hAnsi="Times New Roman" w:cs="Times New Roman"/>
          <w:sz w:val="24"/>
          <w:szCs w:val="24"/>
        </w:rPr>
      </w:pPr>
    </w:p>
    <w:p w14:paraId="7DB759A8"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Slavko Samardžija, Dragan Juric, Josip Barišić i  Mladen Mrđen</w:t>
      </w:r>
    </w:p>
    <w:p w14:paraId="7DB759A9" w14:textId="77777777" w:rsidR="00BE05C6" w:rsidRDefault="00000000">
      <w:pPr>
        <w:pStyle w:val="Odlomakpopisa"/>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Upoznavanje s oblicima korupcije 23. 8. 2023. godine</w:t>
      </w:r>
    </w:p>
    <w:p w14:paraId="7DB759AA" w14:textId="77777777" w:rsidR="00BE05C6" w:rsidRDefault="00BE05C6">
      <w:pPr>
        <w:spacing w:after="0" w:line="360" w:lineRule="auto"/>
        <w:jc w:val="both"/>
        <w:rPr>
          <w:rFonts w:ascii="Times New Roman" w:hAnsi="Times New Roman" w:cs="Times New Roman"/>
          <w:sz w:val="24"/>
          <w:szCs w:val="24"/>
        </w:rPr>
      </w:pPr>
    </w:p>
    <w:p w14:paraId="7DB759AB"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Slavko Samardžija, Dragan Juric, Josip Barišić i  Mladen Mrđen</w:t>
      </w:r>
    </w:p>
    <w:p w14:paraId="7DB759AC" w14:textId="77777777" w:rsidR="00BE05C6" w:rsidRDefault="00000000">
      <w:pPr>
        <w:pStyle w:val="Odlomakpopisa"/>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Upoznavanje s oblicima korupcije 5. 10. 2023. godine</w:t>
      </w:r>
    </w:p>
    <w:p w14:paraId="7DB759AD" w14:textId="77777777" w:rsidR="00BE05C6" w:rsidRDefault="00BE05C6">
      <w:pPr>
        <w:spacing w:after="0" w:line="360" w:lineRule="auto"/>
        <w:jc w:val="both"/>
        <w:rPr>
          <w:rFonts w:ascii="Times New Roman" w:hAnsi="Times New Roman" w:cs="Times New Roman"/>
          <w:sz w:val="24"/>
          <w:szCs w:val="24"/>
        </w:rPr>
      </w:pPr>
    </w:p>
    <w:p w14:paraId="7DB759AE"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Slavko Samardžija, Josip Barišić i  Mladen Mrđen</w:t>
      </w:r>
    </w:p>
    <w:p w14:paraId="7DB759AF" w14:textId="77777777" w:rsidR="00BE05C6" w:rsidRDefault="00000000">
      <w:pPr>
        <w:pStyle w:val="Odlomakpopisa"/>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Upoznavanje s kodeksom etike u poslovanju 27. 11. 2023. godine</w:t>
      </w:r>
    </w:p>
    <w:p w14:paraId="7DB759B0" w14:textId="77777777" w:rsidR="00BE05C6" w:rsidRDefault="00BE05C6">
      <w:pPr>
        <w:spacing w:after="0" w:line="360" w:lineRule="auto"/>
        <w:jc w:val="both"/>
        <w:rPr>
          <w:rFonts w:ascii="Times New Roman" w:hAnsi="Times New Roman" w:cs="Times New Roman"/>
          <w:sz w:val="24"/>
          <w:szCs w:val="24"/>
        </w:rPr>
      </w:pPr>
    </w:p>
    <w:p w14:paraId="7DB759B1"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 lipnju 2022. godine osnovano je povjerenstvo za reklamacije potrošača pri HGK koje i dalje djeluje.</w:t>
      </w:r>
    </w:p>
    <w:p w14:paraId="7DB759B2" w14:textId="77777777" w:rsidR="00BE05C6" w:rsidRDefault="00BE05C6">
      <w:pPr>
        <w:spacing w:after="0" w:line="360" w:lineRule="auto"/>
        <w:jc w:val="both"/>
        <w:rPr>
          <w:rFonts w:ascii="Times New Roman" w:hAnsi="Times New Roman" w:cs="Times New Roman"/>
          <w:sz w:val="24"/>
          <w:szCs w:val="24"/>
        </w:rPr>
      </w:pPr>
    </w:p>
    <w:p w14:paraId="7DB759B3"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 srpnja 2023. godini društvo je bilo pod nadzorom tijela MUP, Ravnateljstvo civilne zaštite, Područni ured civilne zaštite Split, Služba civilne zaštite Šibenik, Odjel inspekcije, tom prilikom nisu nađene nepravilnosti u provedbi Zakona o sustavu civilne zaštite koje se odnose na obveze pravne osobe određene odlukama jedinica lokalne i regionalne (područne) samouprave kao pravne osobe od interesa za sustav civilne zaštite.</w:t>
      </w:r>
    </w:p>
    <w:p w14:paraId="7DB759B4" w14:textId="77777777" w:rsidR="00BE05C6" w:rsidRDefault="00BE05C6">
      <w:pPr>
        <w:spacing w:after="0" w:line="360" w:lineRule="auto"/>
        <w:jc w:val="both"/>
        <w:rPr>
          <w:rFonts w:ascii="Times New Roman" w:hAnsi="Times New Roman" w:cs="Times New Roman"/>
          <w:sz w:val="24"/>
          <w:szCs w:val="24"/>
        </w:rPr>
      </w:pPr>
    </w:p>
    <w:p w14:paraId="7DB759B5" w14:textId="77777777" w:rsidR="00BE05C6"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Ovom Izvješću o radu i poslovanju društva EKO Promina d.o.o. u 2023. godini prilog je Godišnji financijski izvještaja GFI-POD za 2023. godinu.</w:t>
      </w:r>
    </w:p>
    <w:p w14:paraId="7DB759B6" w14:textId="77777777" w:rsidR="00BE05C6" w:rsidRDefault="00BE05C6">
      <w:pPr>
        <w:spacing w:after="0" w:line="360" w:lineRule="auto"/>
        <w:jc w:val="both"/>
        <w:rPr>
          <w:rFonts w:ascii="Times New Roman" w:hAnsi="Times New Roman" w:cs="Times New Roman"/>
          <w:sz w:val="24"/>
          <w:szCs w:val="24"/>
        </w:rPr>
      </w:pPr>
    </w:p>
    <w:p w14:paraId="7DB759B7" w14:textId="77777777" w:rsidR="00BE05C6" w:rsidRDefault="00BE05C6">
      <w:pPr>
        <w:spacing w:after="0" w:line="360" w:lineRule="auto"/>
        <w:jc w:val="both"/>
        <w:rPr>
          <w:rFonts w:ascii="Times New Roman" w:hAnsi="Times New Roman" w:cs="Times New Roman"/>
          <w:sz w:val="24"/>
          <w:szCs w:val="24"/>
          <w:highlight w:val="yellow"/>
        </w:rPr>
      </w:pPr>
    </w:p>
    <w:sectPr w:rsidR="00BE05C6">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807"/>
    <w:multiLevelType w:val="multilevel"/>
    <w:tmpl w:val="FB44F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5C4546"/>
    <w:multiLevelType w:val="multilevel"/>
    <w:tmpl w:val="6E7644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0526AC"/>
    <w:multiLevelType w:val="multilevel"/>
    <w:tmpl w:val="B2B09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F1BFB"/>
    <w:multiLevelType w:val="multilevel"/>
    <w:tmpl w:val="8778A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BB260FD"/>
    <w:multiLevelType w:val="multilevel"/>
    <w:tmpl w:val="6DC0010C"/>
    <w:lvl w:ilvl="0">
      <w:start w:val="2"/>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3F2A"/>
    <w:multiLevelType w:val="multilevel"/>
    <w:tmpl w:val="B106C9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10415E"/>
    <w:multiLevelType w:val="multilevel"/>
    <w:tmpl w:val="D8086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48462B"/>
    <w:multiLevelType w:val="multilevel"/>
    <w:tmpl w:val="0584F4B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24607"/>
    <w:multiLevelType w:val="multilevel"/>
    <w:tmpl w:val="85AED638"/>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DEC45FD"/>
    <w:multiLevelType w:val="multilevel"/>
    <w:tmpl w:val="13CE13C6"/>
    <w:lvl w:ilvl="0">
      <w:start w:val="1"/>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5F1995"/>
    <w:multiLevelType w:val="multilevel"/>
    <w:tmpl w:val="85E899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DE0C57"/>
    <w:multiLevelType w:val="multilevel"/>
    <w:tmpl w:val="5F34DF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1D76D3"/>
    <w:multiLevelType w:val="multilevel"/>
    <w:tmpl w:val="03BA57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A64038"/>
    <w:multiLevelType w:val="multilevel"/>
    <w:tmpl w:val="F748131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7B091E"/>
    <w:multiLevelType w:val="multilevel"/>
    <w:tmpl w:val="AF40A8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0B58DD"/>
    <w:multiLevelType w:val="multilevel"/>
    <w:tmpl w:val="1B1ED2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8A4774"/>
    <w:multiLevelType w:val="multilevel"/>
    <w:tmpl w:val="C2967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C80C04"/>
    <w:multiLevelType w:val="multilevel"/>
    <w:tmpl w:val="3B3614CC"/>
    <w:lvl w:ilvl="0">
      <w:start w:val="8"/>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4941FD"/>
    <w:multiLevelType w:val="multilevel"/>
    <w:tmpl w:val="DF880B3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3B6EA7"/>
    <w:multiLevelType w:val="multilevel"/>
    <w:tmpl w:val="95AC900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B25A00"/>
    <w:multiLevelType w:val="multilevel"/>
    <w:tmpl w:val="D0EECA6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E26CFB"/>
    <w:multiLevelType w:val="multilevel"/>
    <w:tmpl w:val="B0D44A7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E6A2012"/>
    <w:multiLevelType w:val="multilevel"/>
    <w:tmpl w:val="0ABAF9E8"/>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FAF6960"/>
    <w:multiLevelType w:val="multilevel"/>
    <w:tmpl w:val="22D22A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3C69D1"/>
    <w:multiLevelType w:val="multilevel"/>
    <w:tmpl w:val="9224E9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963C14"/>
    <w:multiLevelType w:val="multilevel"/>
    <w:tmpl w:val="C55005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ED4828"/>
    <w:multiLevelType w:val="multilevel"/>
    <w:tmpl w:val="49AE0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5E5B48"/>
    <w:multiLevelType w:val="multilevel"/>
    <w:tmpl w:val="DE5E55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693C49"/>
    <w:multiLevelType w:val="multilevel"/>
    <w:tmpl w:val="BB16AF80"/>
    <w:lvl w:ilvl="0">
      <w:start w:val="2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63A02"/>
    <w:multiLevelType w:val="multilevel"/>
    <w:tmpl w:val="039A85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8B17D4"/>
    <w:multiLevelType w:val="multilevel"/>
    <w:tmpl w:val="4C86263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000412"/>
    <w:multiLevelType w:val="multilevel"/>
    <w:tmpl w:val="D840C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2F6FB7"/>
    <w:multiLevelType w:val="multilevel"/>
    <w:tmpl w:val="8BB4EC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387EED"/>
    <w:multiLevelType w:val="multilevel"/>
    <w:tmpl w:val="81BE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81573"/>
    <w:multiLevelType w:val="multilevel"/>
    <w:tmpl w:val="D19CD0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57E69"/>
    <w:multiLevelType w:val="multilevel"/>
    <w:tmpl w:val="DD8CE33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F728B"/>
    <w:multiLevelType w:val="multilevel"/>
    <w:tmpl w:val="5FB8B0C8"/>
    <w:lvl w:ilvl="0">
      <w:start w:val="1"/>
      <w:numFmt w:val="decimal"/>
      <w:lvlText w:val="%1."/>
      <w:lvlJc w:val="left"/>
      <w:pPr>
        <w:ind w:left="720" w:hanging="360"/>
      </w:pPr>
      <w:rPr>
        <w:rFonts w:ascii="Arial Narrow" w:eastAsia="Times New Roman" w:hAnsi="Arial Narro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97153C9"/>
    <w:multiLevelType w:val="multilevel"/>
    <w:tmpl w:val="458450D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9690B"/>
    <w:multiLevelType w:val="multilevel"/>
    <w:tmpl w:val="7004CF0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7A542B3"/>
    <w:multiLevelType w:val="multilevel"/>
    <w:tmpl w:val="ED2AF8EE"/>
    <w:lvl w:ilvl="0">
      <w:numFmt w:val="bullet"/>
      <w:lvlText w:val="-"/>
      <w:lvlJc w:val="left"/>
      <w:pPr>
        <w:ind w:left="720" w:hanging="360"/>
      </w:pPr>
      <w:rPr>
        <w:rFonts w:ascii="Arial Narrow" w:eastAsia="Times New Roman"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557310"/>
    <w:multiLevelType w:val="multilevel"/>
    <w:tmpl w:val="E49013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1339728">
    <w:abstractNumId w:val="0"/>
  </w:num>
  <w:num w:numId="2" w16cid:durableId="70932767">
    <w:abstractNumId w:val="1"/>
  </w:num>
  <w:num w:numId="3" w16cid:durableId="381637588">
    <w:abstractNumId w:val="2"/>
  </w:num>
  <w:num w:numId="4" w16cid:durableId="671251910">
    <w:abstractNumId w:val="3"/>
  </w:num>
  <w:num w:numId="5" w16cid:durableId="1233348264">
    <w:abstractNumId w:val="4"/>
  </w:num>
  <w:num w:numId="6" w16cid:durableId="516848559">
    <w:abstractNumId w:val="5"/>
  </w:num>
  <w:num w:numId="7" w16cid:durableId="1372799124">
    <w:abstractNumId w:val="6"/>
  </w:num>
  <w:num w:numId="8" w16cid:durableId="1195774212">
    <w:abstractNumId w:val="7"/>
  </w:num>
  <w:num w:numId="9" w16cid:durableId="2069375494">
    <w:abstractNumId w:val="8"/>
  </w:num>
  <w:num w:numId="10" w16cid:durableId="1555698759">
    <w:abstractNumId w:val="9"/>
  </w:num>
  <w:num w:numId="11" w16cid:durableId="1994792177">
    <w:abstractNumId w:val="10"/>
  </w:num>
  <w:num w:numId="12" w16cid:durableId="1331445260">
    <w:abstractNumId w:val="11"/>
  </w:num>
  <w:num w:numId="13" w16cid:durableId="1977447692">
    <w:abstractNumId w:val="12"/>
  </w:num>
  <w:num w:numId="14" w16cid:durableId="2045713131">
    <w:abstractNumId w:val="13"/>
  </w:num>
  <w:num w:numId="15" w16cid:durableId="391739113">
    <w:abstractNumId w:val="14"/>
  </w:num>
  <w:num w:numId="16" w16cid:durableId="1214537901">
    <w:abstractNumId w:val="15"/>
  </w:num>
  <w:num w:numId="17" w16cid:durableId="628632627">
    <w:abstractNumId w:val="16"/>
  </w:num>
  <w:num w:numId="18" w16cid:durableId="585457731">
    <w:abstractNumId w:val="17"/>
  </w:num>
  <w:num w:numId="19" w16cid:durableId="1458378615">
    <w:abstractNumId w:val="18"/>
  </w:num>
  <w:num w:numId="20" w16cid:durableId="1743526520">
    <w:abstractNumId w:val="19"/>
  </w:num>
  <w:num w:numId="21" w16cid:durableId="220017683">
    <w:abstractNumId w:val="20"/>
  </w:num>
  <w:num w:numId="22" w16cid:durableId="1631594639">
    <w:abstractNumId w:val="21"/>
  </w:num>
  <w:num w:numId="23" w16cid:durableId="916355240">
    <w:abstractNumId w:val="22"/>
  </w:num>
  <w:num w:numId="24" w16cid:durableId="106393950">
    <w:abstractNumId w:val="23"/>
  </w:num>
  <w:num w:numId="25" w16cid:durableId="311251318">
    <w:abstractNumId w:val="24"/>
  </w:num>
  <w:num w:numId="26" w16cid:durableId="700474029">
    <w:abstractNumId w:val="25"/>
  </w:num>
  <w:num w:numId="27" w16cid:durableId="1162697620">
    <w:abstractNumId w:val="26"/>
  </w:num>
  <w:num w:numId="28" w16cid:durableId="1671836562">
    <w:abstractNumId w:val="27"/>
  </w:num>
  <w:num w:numId="29" w16cid:durableId="400522070">
    <w:abstractNumId w:val="28"/>
  </w:num>
  <w:num w:numId="30" w16cid:durableId="468981319">
    <w:abstractNumId w:val="29"/>
  </w:num>
  <w:num w:numId="31" w16cid:durableId="110172456">
    <w:abstractNumId w:val="30"/>
  </w:num>
  <w:num w:numId="32" w16cid:durableId="1701394111">
    <w:abstractNumId w:val="31"/>
  </w:num>
  <w:num w:numId="33" w16cid:durableId="1407722594">
    <w:abstractNumId w:val="32"/>
  </w:num>
  <w:num w:numId="34" w16cid:durableId="962614222">
    <w:abstractNumId w:val="33"/>
  </w:num>
  <w:num w:numId="35" w16cid:durableId="405692579">
    <w:abstractNumId w:val="34"/>
  </w:num>
  <w:num w:numId="36" w16cid:durableId="534660484">
    <w:abstractNumId w:val="35"/>
  </w:num>
  <w:num w:numId="37" w16cid:durableId="268246460">
    <w:abstractNumId w:val="36"/>
  </w:num>
  <w:num w:numId="38" w16cid:durableId="1716732788">
    <w:abstractNumId w:val="37"/>
  </w:num>
  <w:num w:numId="39" w16cid:durableId="1831172292">
    <w:abstractNumId w:val="38"/>
  </w:num>
  <w:num w:numId="40" w16cid:durableId="150952797">
    <w:abstractNumId w:val="39"/>
  </w:num>
  <w:num w:numId="41" w16cid:durableId="6141047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C6"/>
    <w:rsid w:val="00072FB5"/>
    <w:rsid w:val="00BE0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776"/>
  <w15:docId w15:val="{F8D31149-830E-40EA-88AD-5121E98A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pPr>
      <w:keepNext/>
      <w:keepLines/>
      <w:spacing w:before="240" w:after="0"/>
      <w:outlineLvl w:val="0"/>
    </w:pPr>
    <w:rPr>
      <w:rFonts w:asciiTheme="majorHAnsi" w:eastAsiaTheme="majorEastAsia" w:hAnsiTheme="majorHAnsi" w:cstheme="majorBidi"/>
      <w:color w:val="365F91"/>
      <w:sz w:val="32"/>
      <w:szCs w:val="32"/>
    </w:rPr>
  </w:style>
  <w:style w:type="paragraph" w:styleId="Naslov2">
    <w:name w:val="heading 2"/>
    <w:basedOn w:val="Normal"/>
    <w:next w:val="Normal"/>
    <w:link w:val="Naslov2Char"/>
    <w:uiPriority w:val="9"/>
    <w:unhideWhenUsed/>
    <w:qFormat/>
    <w:pPr>
      <w:keepNext/>
      <w:keepLines/>
      <w:spacing w:before="40" w:after="0"/>
      <w:outlineLvl w:val="1"/>
    </w:pPr>
    <w:rPr>
      <w:rFonts w:asciiTheme="majorHAnsi" w:eastAsiaTheme="majorEastAsia" w:hAnsiTheme="majorHAnsi" w:cstheme="majorBidi"/>
      <w:color w:val="365F91"/>
      <w:sz w:val="26"/>
      <w:szCs w:val="26"/>
    </w:rPr>
  </w:style>
  <w:style w:type="paragraph" w:styleId="Naslov3">
    <w:name w:val="heading 3"/>
    <w:basedOn w:val="Normal"/>
    <w:next w:val="Normal"/>
    <w:link w:val="Naslov3Char"/>
    <w:uiPriority w:val="9"/>
    <w:unhideWhenUsed/>
    <w:qFormat/>
    <w:pPr>
      <w:keepNext/>
      <w:keepLines/>
      <w:spacing w:before="40" w:after="0"/>
      <w:outlineLvl w:val="2"/>
    </w:pPr>
    <w:rPr>
      <w:rFonts w:asciiTheme="majorHAnsi" w:eastAsiaTheme="majorEastAsia" w:hAnsiTheme="majorHAnsi" w:cstheme="majorBidi"/>
      <w:color w:val="243F60"/>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pPr>
      <w:spacing w:after="120"/>
    </w:pPr>
  </w:style>
  <w:style w:type="character" w:customStyle="1" w:styleId="TijelotekstaChar">
    <w:name w:val="Tijelo teksta Char"/>
    <w:basedOn w:val="Zadanifontodlomka"/>
    <w:link w:val="Tijeloteksta"/>
    <w:uiPriority w:val="99"/>
    <w:semiHidden/>
  </w:style>
  <w:style w:type="paragraph" w:customStyle="1" w:styleId="Bezproreda1">
    <w:name w:val="Bez proreda1"/>
    <w:uiPriority w:val="1"/>
    <w:qFormat/>
    <w:pPr>
      <w:spacing w:after="0" w:line="240" w:lineRule="auto"/>
    </w:pPr>
  </w:style>
  <w:style w:type="character" w:styleId="Hiperveza">
    <w:name w:val="Hyperlink"/>
    <w:basedOn w:val="Zadanifontodlomka"/>
    <w:uiPriority w:val="99"/>
    <w:unhideWhenUsed/>
    <w:rPr>
      <w:color w:val="0000FF"/>
      <w:u w:val="single"/>
    </w:rPr>
  </w:style>
  <w:style w:type="character" w:customStyle="1" w:styleId="Nerijeenospominjanje1">
    <w:name w:val="Neriješeno spominjanje1"/>
    <w:basedOn w:val="Zadanifontodlomka"/>
    <w:uiPriority w:val="99"/>
    <w:semiHidden/>
    <w:unhideWhenUsed/>
    <w:rPr>
      <w:color w:val="605E5C"/>
      <w:shd w:val="clear" w:color="auto" w:fill="E1DFDD"/>
    </w:rPr>
  </w:style>
  <w:style w:type="character" w:customStyle="1" w:styleId="Naslov3Char">
    <w:name w:val="Naslov 3 Char"/>
    <w:basedOn w:val="Zadanifontodlomka"/>
    <w:link w:val="Naslov3"/>
    <w:uiPriority w:val="9"/>
    <w:rPr>
      <w:rFonts w:asciiTheme="majorHAnsi" w:eastAsiaTheme="majorEastAsia" w:hAnsiTheme="majorHAnsi" w:cstheme="majorBidi"/>
      <w:color w:val="243F60"/>
      <w:sz w:val="24"/>
      <w:szCs w:val="24"/>
    </w:rPr>
  </w:style>
  <w:style w:type="character" w:customStyle="1" w:styleId="Naslov2Char">
    <w:name w:val="Naslov 2 Char"/>
    <w:basedOn w:val="Zadanifontodlomka"/>
    <w:link w:val="Naslov2"/>
    <w:uiPriority w:val="9"/>
    <w:rPr>
      <w:rFonts w:asciiTheme="majorHAnsi" w:eastAsiaTheme="majorEastAsia" w:hAnsiTheme="majorHAnsi" w:cstheme="majorBidi"/>
      <w:color w:val="365F91"/>
      <w:sz w:val="26"/>
      <w:szCs w:val="26"/>
    </w:rPr>
  </w:style>
  <w:style w:type="paragraph" w:customStyle="1" w:styleId="Standard">
    <w:name w:val="Standard"/>
    <w:pPr>
      <w:suppressAutoHyphens/>
      <w:autoSpaceDN w:val="0"/>
      <w:textAlignment w:val="baseline"/>
    </w:pPr>
    <w:rPr>
      <w:rFonts w:ascii="Calibri" w:eastAsia="SimSun" w:hAnsi="Calibri" w:cs="Calibri"/>
      <w:kern w:val="3"/>
    </w:rPr>
  </w:style>
  <w:style w:type="character" w:customStyle="1" w:styleId="Naslov1Char">
    <w:name w:val="Naslov 1 Char"/>
    <w:basedOn w:val="Zadanifontodlomka"/>
    <w:link w:val="Naslov1"/>
    <w:uiPriority w:val="9"/>
    <w:rPr>
      <w:rFonts w:asciiTheme="majorHAnsi" w:eastAsiaTheme="majorEastAsia" w:hAnsiTheme="majorHAnsi" w:cstheme="majorBidi"/>
      <w:color w:val="365F91"/>
      <w:sz w:val="32"/>
      <w:szCs w:val="32"/>
    </w:rPr>
  </w:style>
  <w:style w:type="paragraph" w:styleId="Standard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ko-promina.hr" TargetMode="External"/><Relationship Id="rId3" Type="http://schemas.openxmlformats.org/officeDocument/2006/relationships/styles" Target="styles.xml"/><Relationship Id="rId7" Type="http://schemas.openxmlformats.org/officeDocument/2006/relationships/hyperlink" Target="http://www.eko-promin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4CBF-B7DC-450C-B83C-14F52E6D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1985</TotalTime>
  <Pages>20</Pages>
  <Words>4525</Words>
  <Characters>25797</Characters>
  <Application>Microsoft Office Word</Application>
  <DocSecurity>0</DocSecurity>
  <Lines>214</Lines>
  <Paragraphs>60</Paragraphs>
  <ScaleCrop>false</ScaleCrop>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dc:creator>
  <cp:lastModifiedBy>EKO PROMINA d.o.o.</cp:lastModifiedBy>
  <cp:revision>407</cp:revision>
  <cp:lastPrinted>2022-03-10T09:43:00Z</cp:lastPrinted>
  <dcterms:created xsi:type="dcterms:W3CDTF">2018-01-26T11:12:00Z</dcterms:created>
  <dcterms:modified xsi:type="dcterms:W3CDTF">2024-04-18T07:14:00Z</dcterms:modified>
</cp:coreProperties>
</file>